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44CC6E" w14:textId="77777777" w:rsidR="00D828C9" w:rsidRPr="0021250A" w:rsidRDefault="00D828C9">
      <w:pPr>
        <w:spacing w:before="40" w:after="40"/>
        <w:rPr>
          <w:color w:val="000000" w:themeColor="text1"/>
        </w:rPr>
      </w:pPr>
    </w:p>
    <w:p w14:paraId="3B6354F4" w14:textId="77777777" w:rsidR="00D828C9" w:rsidRPr="0021250A" w:rsidRDefault="00D828C9">
      <w:pPr>
        <w:spacing w:before="40" w:after="40"/>
        <w:rPr>
          <w:color w:val="000000" w:themeColor="text1"/>
        </w:rPr>
      </w:pPr>
    </w:p>
    <w:p w14:paraId="2238FE8B" w14:textId="2BAD831C" w:rsidR="00D828C9" w:rsidRPr="0021250A" w:rsidRDefault="00FF3273" w:rsidP="00C9694D">
      <w:pPr>
        <w:spacing w:before="480" w:after="120"/>
        <w:jc w:val="center"/>
        <w:rPr>
          <w:color w:val="000000" w:themeColor="text1"/>
        </w:rPr>
      </w:pPr>
      <w:r>
        <w:rPr>
          <w:b/>
          <w:bCs/>
          <w:color w:val="000000" w:themeColor="text1"/>
          <w:sz w:val="44"/>
          <w:szCs w:val="44"/>
        </w:rPr>
        <w:t>Developing clean cooking strategies for Lao PDR; a modelling-based analysis</w:t>
      </w:r>
    </w:p>
    <w:p w14:paraId="7F89CD12" w14:textId="77777777" w:rsidR="00D828C9" w:rsidRPr="0021250A" w:rsidRDefault="00D828C9">
      <w:pPr>
        <w:spacing w:before="40" w:after="40"/>
        <w:rPr>
          <w:color w:val="000000" w:themeColor="text1"/>
        </w:rPr>
      </w:pPr>
    </w:p>
    <w:p w14:paraId="648D1CAE" w14:textId="77777777" w:rsidR="00D828C9" w:rsidRPr="0021250A" w:rsidRDefault="00FF3273">
      <w:pPr>
        <w:spacing w:before="120" w:after="60"/>
        <w:jc w:val="center"/>
        <w:rPr>
          <w:color w:val="000000" w:themeColor="text1"/>
        </w:rPr>
      </w:pPr>
      <w:r>
        <w:rPr>
          <w:b/>
          <w:bCs/>
          <w:color w:val="000000" w:themeColor="text1"/>
          <w:sz w:val="28"/>
          <w:szCs w:val="28"/>
        </w:rPr>
        <w:t>Research Report</w:t>
      </w:r>
    </w:p>
    <w:p w14:paraId="27180ACC" w14:textId="77777777" w:rsidR="0078217A" w:rsidRPr="0021250A" w:rsidRDefault="0078217A" w:rsidP="0078217A">
      <w:pPr>
        <w:spacing w:after="160"/>
        <w:rPr>
          <w:color w:val="000000" w:themeColor="text1"/>
        </w:rPr>
      </w:pPr>
    </w:p>
    <w:p w14:paraId="42FFBB2C" w14:textId="77777777" w:rsidR="0078217A" w:rsidRPr="0021250A" w:rsidRDefault="0078217A" w:rsidP="0078217A">
      <w:pPr>
        <w:spacing w:after="160"/>
        <w:rPr>
          <w:color w:val="000000" w:themeColor="text1"/>
        </w:rPr>
      </w:pPr>
    </w:p>
    <w:p w14:paraId="40B5F201" w14:textId="77777777" w:rsidR="0078217A" w:rsidRPr="0021250A" w:rsidRDefault="0078217A" w:rsidP="0078217A">
      <w:pPr>
        <w:spacing w:after="160"/>
        <w:rPr>
          <w:color w:val="000000" w:themeColor="text1"/>
        </w:rPr>
      </w:pPr>
    </w:p>
    <w:p w14:paraId="6062F346" w14:textId="77777777" w:rsidR="0078217A" w:rsidRPr="0021250A" w:rsidRDefault="0078217A" w:rsidP="0078217A">
      <w:pPr>
        <w:spacing w:after="80"/>
        <w:jc w:val="center"/>
        <w:rPr>
          <w:color w:val="000000" w:themeColor="text1"/>
        </w:rPr>
      </w:pPr>
      <w:r>
        <w:rPr>
          <w:b/>
          <w:bCs/>
          <w:color w:val="000000" w:themeColor="text1"/>
        </w:rPr>
        <w:t>Submitted to:</w:t>
      </w:r>
    </w:p>
    <w:p w14:paraId="4F1BA2FD" w14:textId="77777777" w:rsidR="0078217A" w:rsidRPr="0021250A" w:rsidRDefault="0078217A" w:rsidP="0078217A">
      <w:pPr>
        <w:spacing w:after="80"/>
        <w:jc w:val="center"/>
        <w:rPr>
          <w:color w:val="000000" w:themeColor="text1"/>
        </w:rPr>
      </w:pPr>
      <w:r>
        <w:rPr>
          <w:color w:val="000000" w:themeColor="text1"/>
        </w:rPr>
        <w:t xml:space="preserve">Climate Compatible Growth (CCG) </w:t>
      </w:r>
      <w:proofErr w:type="spellStart"/>
      <w:r>
        <w:rPr>
          <w:color w:val="000000" w:themeColor="text1"/>
        </w:rPr>
        <w:t>Programme</w:t>
      </w:r>
      <w:proofErr w:type="spellEnd"/>
    </w:p>
    <w:p w14:paraId="7248A697" w14:textId="77777777" w:rsidR="0078217A" w:rsidRPr="0021250A" w:rsidRDefault="0078217A" w:rsidP="0078217A">
      <w:pPr>
        <w:spacing w:after="160"/>
        <w:rPr>
          <w:color w:val="000000" w:themeColor="text1"/>
        </w:rPr>
      </w:pPr>
    </w:p>
    <w:p w14:paraId="0F88E517" w14:textId="77777777" w:rsidR="0078217A" w:rsidRPr="0021250A" w:rsidRDefault="0078217A" w:rsidP="0078217A">
      <w:pPr>
        <w:spacing w:after="160"/>
        <w:rPr>
          <w:color w:val="000000" w:themeColor="text1"/>
        </w:rPr>
      </w:pPr>
    </w:p>
    <w:p w14:paraId="7315268F" w14:textId="77777777" w:rsidR="0078217A" w:rsidRPr="0021250A" w:rsidRDefault="0078217A" w:rsidP="0078217A">
      <w:pPr>
        <w:spacing w:after="160"/>
        <w:rPr>
          <w:color w:val="000000" w:themeColor="text1"/>
        </w:rPr>
      </w:pPr>
    </w:p>
    <w:p w14:paraId="682BD129" w14:textId="77777777" w:rsidR="0078217A" w:rsidRDefault="0078217A" w:rsidP="0078217A">
      <w:pPr>
        <w:spacing w:after="80"/>
        <w:jc w:val="center"/>
        <w:rPr>
          <w:b/>
          <w:bCs/>
          <w:color w:val="000000" w:themeColor="text1"/>
        </w:rPr>
      </w:pPr>
      <w:r>
        <w:rPr>
          <w:b/>
          <w:bCs/>
          <w:color w:val="000000" w:themeColor="text1"/>
        </w:rPr>
        <w:t>Submitted by:</w:t>
      </w:r>
    </w:p>
    <w:p w14:paraId="5DB5B1C1" w14:textId="3DA27788" w:rsidR="00BC40F1" w:rsidRPr="0021250A" w:rsidRDefault="00FF3273" w:rsidP="0078217A">
      <w:pPr>
        <w:spacing w:after="80"/>
        <w:jc w:val="center"/>
        <w:rPr>
          <w:color w:val="000000" w:themeColor="text1"/>
        </w:rPr>
      </w:pPr>
      <w:proofErr w:type="spellStart"/>
      <w:r w:rsidRPr="00FF3273">
        <w:rPr>
          <w:b/>
          <w:bCs/>
          <w:color w:val="000000" w:themeColor="text1"/>
        </w:rPr>
        <w:t>Xangpheuak</w:t>
      </w:r>
      <w:proofErr w:type="spellEnd"/>
      <w:r w:rsidRPr="00FF3273">
        <w:rPr>
          <w:b/>
          <w:bCs/>
          <w:color w:val="000000" w:themeColor="text1"/>
        </w:rPr>
        <w:t xml:space="preserve"> </w:t>
      </w:r>
      <w:proofErr w:type="spellStart"/>
      <w:r w:rsidRPr="00FF3273">
        <w:rPr>
          <w:b/>
          <w:bCs/>
          <w:color w:val="000000" w:themeColor="text1"/>
        </w:rPr>
        <w:t>I</w:t>
      </w:r>
      <w:r w:rsidRPr="00FF3273">
        <w:rPr>
          <w:b/>
          <w:bCs/>
          <w:color w:val="000000" w:themeColor="text1"/>
        </w:rPr>
        <w:t>nthavideth</w:t>
      </w:r>
      <w:proofErr w:type="spellEnd"/>
      <w:r w:rsidR="00C9694D">
        <w:rPr>
          <w:b/>
          <w:bCs/>
          <w:color w:val="000000" w:themeColor="text1"/>
        </w:rPr>
        <w:t xml:space="preserve"> and </w:t>
      </w:r>
      <w:proofErr w:type="spellStart"/>
      <w:r w:rsidR="00C9694D">
        <w:rPr>
          <w:b/>
          <w:bCs/>
          <w:color w:val="000000" w:themeColor="text1"/>
        </w:rPr>
        <w:t>Xayalak</w:t>
      </w:r>
      <w:proofErr w:type="spellEnd"/>
      <w:r>
        <w:rPr>
          <w:b/>
          <w:bCs/>
          <w:color w:val="000000" w:themeColor="text1"/>
        </w:rPr>
        <w:t xml:space="preserve"> </w:t>
      </w:r>
      <w:proofErr w:type="spellStart"/>
      <w:r>
        <w:rPr>
          <w:b/>
          <w:bCs/>
          <w:color w:val="000000" w:themeColor="text1"/>
        </w:rPr>
        <w:t>Vilaida</w:t>
      </w:r>
      <w:proofErr w:type="spellEnd"/>
    </w:p>
    <w:p w14:paraId="4575C6C6" w14:textId="2C5149BE" w:rsidR="00D828C9" w:rsidRPr="0021250A" w:rsidRDefault="00FF3273">
      <w:pPr>
        <w:spacing w:before="60" w:after="60"/>
        <w:jc w:val="center"/>
        <w:rPr>
          <w:color w:val="000000" w:themeColor="text1"/>
        </w:rPr>
      </w:pPr>
      <w:r>
        <w:rPr>
          <w:color w:val="000000" w:themeColor="text1"/>
        </w:rPr>
        <w:t xml:space="preserve">National University of Laos (NUOL) </w:t>
      </w:r>
    </w:p>
    <w:p w14:paraId="52576156" w14:textId="77777777" w:rsidR="00D828C9" w:rsidRPr="0021250A" w:rsidRDefault="00D828C9">
      <w:pPr>
        <w:spacing w:before="40" w:after="40"/>
        <w:rPr>
          <w:color w:val="000000" w:themeColor="text1"/>
        </w:rPr>
      </w:pPr>
    </w:p>
    <w:p w14:paraId="62F973B6" w14:textId="77777777" w:rsidR="0078217A" w:rsidRPr="0021250A" w:rsidRDefault="0078217A">
      <w:pPr>
        <w:spacing w:before="40" w:after="40"/>
        <w:rPr>
          <w:color w:val="000000" w:themeColor="text1"/>
        </w:rPr>
      </w:pPr>
    </w:p>
    <w:p w14:paraId="1EBE8186" w14:textId="77777777" w:rsidR="0078217A" w:rsidRPr="0021250A" w:rsidRDefault="0078217A">
      <w:pPr>
        <w:spacing w:before="40" w:after="40"/>
        <w:rPr>
          <w:color w:val="000000" w:themeColor="text1"/>
        </w:rPr>
      </w:pPr>
    </w:p>
    <w:p w14:paraId="39791C5E" w14:textId="77777777" w:rsidR="0078217A" w:rsidRPr="0021250A" w:rsidRDefault="0078217A">
      <w:pPr>
        <w:spacing w:before="40" w:after="40"/>
        <w:rPr>
          <w:color w:val="000000" w:themeColor="text1"/>
        </w:rPr>
      </w:pPr>
    </w:p>
    <w:p w14:paraId="62AB70E6" w14:textId="77777777" w:rsidR="0078217A" w:rsidRPr="0021250A" w:rsidRDefault="0078217A">
      <w:pPr>
        <w:spacing w:before="40" w:after="40"/>
        <w:rPr>
          <w:color w:val="000000" w:themeColor="text1"/>
        </w:rPr>
      </w:pPr>
    </w:p>
    <w:p w14:paraId="20C795E0" w14:textId="77777777" w:rsidR="0078217A" w:rsidRPr="0021250A" w:rsidRDefault="0078217A">
      <w:pPr>
        <w:spacing w:before="40" w:after="40"/>
        <w:rPr>
          <w:color w:val="000000" w:themeColor="text1"/>
        </w:rPr>
      </w:pPr>
    </w:p>
    <w:p w14:paraId="1D1647D9" w14:textId="77777777" w:rsidR="0078217A" w:rsidRPr="0021250A" w:rsidRDefault="0078217A">
      <w:pPr>
        <w:spacing w:before="40" w:after="40"/>
        <w:rPr>
          <w:color w:val="000000" w:themeColor="text1"/>
        </w:rPr>
      </w:pPr>
    </w:p>
    <w:p w14:paraId="7514A478" w14:textId="77777777" w:rsidR="0078217A" w:rsidRPr="0021250A" w:rsidRDefault="0078217A">
      <w:pPr>
        <w:spacing w:before="40" w:after="40"/>
        <w:rPr>
          <w:color w:val="000000" w:themeColor="text1"/>
        </w:rPr>
      </w:pPr>
    </w:p>
    <w:p w14:paraId="12F1EE23" w14:textId="77777777" w:rsidR="0078217A" w:rsidRPr="0021250A" w:rsidRDefault="0078217A">
      <w:pPr>
        <w:spacing w:before="40" w:after="40"/>
        <w:rPr>
          <w:color w:val="000000" w:themeColor="text1"/>
        </w:rPr>
      </w:pPr>
    </w:p>
    <w:p w14:paraId="2C176FFB" w14:textId="77777777" w:rsidR="0078217A" w:rsidRPr="0021250A" w:rsidRDefault="0078217A">
      <w:pPr>
        <w:spacing w:before="40" w:after="40"/>
        <w:rPr>
          <w:color w:val="000000" w:themeColor="text1"/>
        </w:rPr>
      </w:pPr>
    </w:p>
    <w:p w14:paraId="319AB113" w14:textId="77777777" w:rsidR="0078217A" w:rsidRPr="0021250A" w:rsidRDefault="0078217A">
      <w:pPr>
        <w:spacing w:before="40" w:after="40"/>
        <w:rPr>
          <w:color w:val="000000" w:themeColor="text1"/>
        </w:rPr>
      </w:pPr>
    </w:p>
    <w:p w14:paraId="79991722" w14:textId="77777777" w:rsidR="0078217A" w:rsidRPr="0021250A" w:rsidRDefault="0078217A">
      <w:pPr>
        <w:spacing w:before="40" w:after="40"/>
        <w:rPr>
          <w:color w:val="000000" w:themeColor="text1"/>
        </w:rPr>
      </w:pPr>
    </w:p>
    <w:p w14:paraId="4778CB82" w14:textId="77777777" w:rsidR="0078217A" w:rsidRPr="0021250A" w:rsidRDefault="0078217A">
      <w:pPr>
        <w:spacing w:before="40" w:after="40"/>
        <w:rPr>
          <w:color w:val="000000" w:themeColor="text1"/>
        </w:rPr>
      </w:pPr>
    </w:p>
    <w:p w14:paraId="050E3733" w14:textId="77777777" w:rsidR="0078217A" w:rsidRPr="0021250A" w:rsidRDefault="0078217A">
      <w:pPr>
        <w:spacing w:before="40" w:after="40"/>
        <w:rPr>
          <w:color w:val="000000" w:themeColor="text1"/>
        </w:rPr>
      </w:pPr>
    </w:p>
    <w:p w14:paraId="78A0D23F" w14:textId="77777777" w:rsidR="0078217A" w:rsidRPr="0021250A" w:rsidRDefault="0078217A">
      <w:pPr>
        <w:spacing w:before="40" w:after="40"/>
        <w:rPr>
          <w:color w:val="000000" w:themeColor="text1"/>
        </w:rPr>
      </w:pPr>
    </w:p>
    <w:p w14:paraId="604CE9B8" w14:textId="77777777" w:rsidR="0078217A" w:rsidRPr="0021250A" w:rsidRDefault="0078217A">
      <w:pPr>
        <w:spacing w:before="40" w:after="40"/>
        <w:rPr>
          <w:color w:val="000000" w:themeColor="text1"/>
        </w:rPr>
      </w:pPr>
    </w:p>
    <w:p w14:paraId="7D3DFE0D" w14:textId="0802E7CB" w:rsidR="00D828C9" w:rsidRPr="0021250A" w:rsidRDefault="00FF3273">
      <w:pPr>
        <w:spacing w:before="120" w:after="60"/>
        <w:jc w:val="center"/>
        <w:rPr>
          <w:color w:val="000000" w:themeColor="text1"/>
        </w:rPr>
      </w:pPr>
      <w:r>
        <w:rPr>
          <w:color w:val="000000" w:themeColor="text1"/>
        </w:rPr>
        <w:t>March 2026</w:t>
      </w:r>
    </w:p>
    <w:p w14:paraId="4E482272" w14:textId="77777777" w:rsidR="00D828C9" w:rsidRPr="0021250A" w:rsidRDefault="00D828C9">
      <w:pPr>
        <w:spacing w:before="40" w:after="40"/>
        <w:rPr>
          <w:color w:val="000000" w:themeColor="text1"/>
        </w:rPr>
      </w:pPr>
    </w:p>
    <w:p w14:paraId="405E54A4" w14:textId="77777777" w:rsidR="00D828C9" w:rsidRPr="0021250A" w:rsidRDefault="00D828C9">
      <w:pPr>
        <w:spacing w:before="40" w:after="40"/>
        <w:rPr>
          <w:color w:val="000000" w:themeColor="text1"/>
        </w:rPr>
      </w:pPr>
    </w:p>
    <w:p w14:paraId="7DE200A0" w14:textId="77777777" w:rsidR="00D828C9" w:rsidRPr="0021250A" w:rsidRDefault="00FF3273">
      <w:pPr>
        <w:rPr>
          <w:color w:val="000000" w:themeColor="text1"/>
        </w:rPr>
      </w:pPr>
      <w:r>
        <w:rPr>
          <w:color w:val="000000" w:themeColor="text1"/>
        </w:rPr>
        <w:br w:type="page"/>
      </w:r>
    </w:p>
    <w:p w14:paraId="3058113D" w14:textId="77777777" w:rsidR="0021250A" w:rsidRPr="0021250A" w:rsidRDefault="0021250A">
      <w:pPr>
        <w:rPr>
          <w:color w:val="000000" w:themeColor="text1"/>
        </w:rPr>
      </w:pPr>
    </w:p>
    <w:p w14:paraId="29F5F5F6" w14:textId="77777777" w:rsidR="0021250A" w:rsidRPr="0021250A" w:rsidRDefault="0021250A" w:rsidP="0021250A">
      <w:pPr>
        <w:pStyle w:val="Heading1"/>
        <w:rPr>
          <w:color w:val="000000" w:themeColor="text1"/>
        </w:rPr>
      </w:pPr>
      <w:bookmarkStart w:id="0" w:name="_Toc224336466"/>
      <w:bookmarkStart w:id="1" w:name="_Toc224609975"/>
      <w:r>
        <w:rPr>
          <w:color w:val="000000" w:themeColor="text1"/>
        </w:rPr>
        <w:t>Table of Contents</w:t>
      </w:r>
      <w:bookmarkEnd w:id="0"/>
      <w:bookmarkEnd w:id="1"/>
    </w:p>
    <w:p w14:paraId="5BE9B8A8" w14:textId="77777777" w:rsidR="0021250A" w:rsidRPr="0021250A" w:rsidRDefault="0021250A" w:rsidP="0021250A">
      <w:pPr>
        <w:pBdr>
          <w:bottom w:val="single" w:sz="4" w:space="1" w:color="1A5276"/>
        </w:pBdr>
        <w:spacing w:after="200"/>
        <w:rPr>
          <w:color w:val="000000" w:themeColor="text1"/>
        </w:rPr>
      </w:pPr>
    </w:p>
    <w:p w14:paraId="51EF7AAF" w14:textId="77777777" w:rsidR="0021250A" w:rsidRPr="0021250A" w:rsidRDefault="0021250A">
      <w:pPr>
        <w:rPr>
          <w:color w:val="000000" w:themeColor="text1"/>
        </w:rPr>
      </w:pPr>
    </w:p>
    <w:sdt>
      <w:sdtPr>
        <w:rPr>
          <w:rFonts w:ascii="Arial" w:eastAsia="Arial" w:hAnsi="Arial" w:cs="Arial"/>
          <w:color w:val="000000" w:themeColor="text1"/>
          <w:sz w:val="22"/>
          <w:szCs w:val="22"/>
          <w:lang w:eastAsia="ja-JP" w:bidi="th-TH"/>
        </w:rPr>
        <w:id w:val="-1050767199"/>
        <w:docPartObj>
          <w:docPartGallery w:val="Table of Contents"/>
          <w:docPartUnique/>
        </w:docPartObj>
      </w:sdtPr>
      <w:sdtEndPr>
        <w:rPr>
          <w:b/>
          <w:bCs/>
          <w:noProof/>
        </w:rPr>
      </w:sdtEndPr>
      <w:sdtContent>
        <w:p w14:paraId="77CD23A4" w14:textId="6EC6C2FB" w:rsidR="0021250A" w:rsidRPr="0021250A" w:rsidRDefault="0021250A">
          <w:pPr>
            <w:pStyle w:val="TOCHeading"/>
            <w:rPr>
              <w:color w:val="000000" w:themeColor="text1"/>
            </w:rPr>
          </w:pPr>
        </w:p>
        <w:p w14:paraId="3F0ECDD8" w14:textId="6B37973E" w:rsidR="0021250A" w:rsidRPr="0021250A" w:rsidRDefault="0021250A">
          <w:pPr>
            <w:pStyle w:val="TOC1"/>
            <w:tabs>
              <w:tab w:val="right" w:leader="dot" w:pos="9628"/>
            </w:tabs>
            <w:rPr>
              <w:noProof/>
              <w:color w:val="000000" w:themeColor="text1"/>
            </w:rPr>
          </w:pPr>
          <w:r>
            <w:rPr>
              <w:color w:val="000000" w:themeColor="text1"/>
            </w:rPr>
            <w:fldChar w:fldCharType="begin"/>
          </w:r>
          <w:r>
            <w:rPr>
              <w:color w:val="000000" w:themeColor="text1"/>
            </w:rPr>
            <w:instrText xml:space="preserve"> TOC \o "1-3" \h \z \u </w:instrText>
          </w:r>
          <w:r>
            <w:rPr>
              <w:color w:val="000000" w:themeColor="text1"/>
            </w:rPr>
            <w:fldChar w:fldCharType="separate"/>
          </w:r>
          <w:hyperlink w:anchor="_Toc224609975" w:history="1">
            <w:r>
              <w:rPr>
                <w:rStyle w:val="Hyperlink"/>
                <w:noProof/>
                <w:color w:val="000000" w:themeColor="text1"/>
              </w:rPr>
              <w:t>Table of Contents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_Toc224609975 \h </w:instrText>
            </w:r>
            <w:r>
              <w:rPr>
                <w:noProof/>
                <w:webHidden/>
                <w:color w:val="000000" w:themeColor="text1"/>
              </w:rPr>
            </w:r>
            <w:r>
              <w:rPr>
                <w:noProof/>
                <w:webHidden/>
                <w:color w:val="000000" w:themeColor="text1"/>
              </w:rPr>
              <w:fldChar w:fldCharType="separate"/>
            </w:r>
            <w:r>
              <w:rPr>
                <w:noProof/>
                <w:webHidden/>
                <w:color w:val="000000" w:themeColor="text1"/>
              </w:rPr>
              <w:t>2</w:t>
            </w:r>
            <w:r>
              <w:rPr>
                <w:noProof/>
                <w:webHidden/>
                <w:color w:val="000000" w:themeColor="text1"/>
              </w:rPr>
              <w:fldChar w:fldCharType="end"/>
            </w:r>
          </w:hyperlink>
        </w:p>
        <w:p w14:paraId="35FB9EE0" w14:textId="2341639D" w:rsidR="0021250A" w:rsidRPr="0021250A" w:rsidRDefault="0021250A">
          <w:pPr>
            <w:pStyle w:val="TOC1"/>
            <w:tabs>
              <w:tab w:val="right" w:leader="dot" w:pos="9628"/>
            </w:tabs>
            <w:rPr>
              <w:noProof/>
              <w:color w:val="000000" w:themeColor="text1"/>
            </w:rPr>
          </w:pPr>
          <w:hyperlink w:anchor="_Toc224609976" w:history="1">
            <w:r>
              <w:rPr>
                <w:rStyle w:val="Hyperlink"/>
                <w:noProof/>
                <w:color w:val="000000" w:themeColor="text1"/>
              </w:rPr>
              <w:t>Abstract</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_Toc224609976 \h </w:instrText>
            </w:r>
            <w:r>
              <w:rPr>
                <w:noProof/>
                <w:webHidden/>
                <w:color w:val="000000" w:themeColor="text1"/>
              </w:rPr>
            </w:r>
            <w:r>
              <w:rPr>
                <w:noProof/>
                <w:webHidden/>
                <w:color w:val="000000" w:themeColor="text1"/>
              </w:rPr>
              <w:fldChar w:fldCharType="separate"/>
            </w:r>
            <w:r>
              <w:rPr>
                <w:noProof/>
                <w:webHidden/>
                <w:color w:val="000000" w:themeColor="text1"/>
              </w:rPr>
              <w:t>4</w:t>
            </w:r>
            <w:r>
              <w:rPr>
                <w:noProof/>
                <w:webHidden/>
                <w:color w:val="000000" w:themeColor="text1"/>
              </w:rPr>
              <w:fldChar w:fldCharType="end"/>
            </w:r>
          </w:hyperlink>
        </w:p>
        <w:p w14:paraId="110AD530" w14:textId="2ABA9019" w:rsidR="0021250A" w:rsidRPr="0021250A" w:rsidRDefault="0021250A">
          <w:pPr>
            <w:pStyle w:val="TOC1"/>
            <w:tabs>
              <w:tab w:val="right" w:leader="dot" w:pos="9628"/>
            </w:tabs>
            <w:rPr>
              <w:noProof/>
              <w:color w:val="000000" w:themeColor="text1"/>
            </w:rPr>
          </w:pPr>
          <w:hyperlink w:anchor="_Toc224609977" w:history="1">
            <w:r>
              <w:rPr>
                <w:rStyle w:val="Hyperlink"/>
                <w:noProof/>
                <w:color w:val="000000" w:themeColor="text1"/>
              </w:rPr>
              <w:t>1. Introduction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_Toc224609977 \h </w:instrText>
            </w:r>
            <w:r>
              <w:rPr>
                <w:noProof/>
                <w:webHidden/>
                <w:color w:val="000000" w:themeColor="text1"/>
              </w:rPr>
            </w:r>
            <w:r>
              <w:rPr>
                <w:noProof/>
                <w:webHidden/>
                <w:color w:val="000000" w:themeColor="text1"/>
              </w:rPr>
              <w:fldChar w:fldCharType="separate"/>
            </w:r>
            <w:r>
              <w:rPr>
                <w:noProof/>
                <w:webHidden/>
                <w:color w:val="000000" w:themeColor="text1"/>
              </w:rPr>
              <w:t>5</w:t>
            </w:r>
            <w:r>
              <w:rPr>
                <w:noProof/>
                <w:webHidden/>
                <w:color w:val="000000" w:themeColor="text1"/>
              </w:rPr>
              <w:fldChar w:fldCharType="end"/>
            </w:r>
          </w:hyperlink>
        </w:p>
        <w:p w14:paraId="67A155CC" w14:textId="1D0BB482" w:rsidR="0021250A" w:rsidRPr="0021250A" w:rsidRDefault="0021250A">
          <w:pPr>
            <w:pStyle w:val="TOC1"/>
            <w:tabs>
              <w:tab w:val="right" w:leader="dot" w:pos="9628"/>
            </w:tabs>
            <w:rPr>
              <w:noProof/>
              <w:color w:val="000000" w:themeColor="text1"/>
            </w:rPr>
          </w:pPr>
          <w:hyperlink w:anchor="_Toc224609978" w:history="1">
            <w:r>
              <w:rPr>
                <w:rStyle w:val="Hyperlink"/>
                <w:noProof/>
                <w:color w:val="000000" w:themeColor="text1"/>
              </w:rPr>
              <w:t>2. Cooking Technologies and Model Parameterisation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_Toc224609978 \h </w:instrText>
            </w:r>
            <w:r>
              <w:rPr>
                <w:noProof/>
                <w:webHidden/>
                <w:color w:val="000000" w:themeColor="text1"/>
              </w:rPr>
            </w:r>
            <w:r>
              <w:rPr>
                <w:noProof/>
                <w:webHidden/>
                <w:color w:val="000000" w:themeColor="text1"/>
              </w:rPr>
              <w:fldChar w:fldCharType="separate"/>
            </w:r>
            <w:r>
              <w:rPr>
                <w:noProof/>
                <w:webHidden/>
                <w:color w:val="000000" w:themeColor="text1"/>
              </w:rPr>
              <w:t>6</w:t>
            </w:r>
            <w:r>
              <w:rPr>
                <w:noProof/>
                <w:webHidden/>
                <w:color w:val="000000" w:themeColor="text1"/>
              </w:rPr>
              <w:fldChar w:fldCharType="end"/>
            </w:r>
          </w:hyperlink>
        </w:p>
        <w:p w14:paraId="33655843" w14:textId="7BA9AA95" w:rsidR="0021250A" w:rsidRPr="0021250A" w:rsidRDefault="0021250A">
          <w:pPr>
            <w:pStyle w:val="TOC2"/>
            <w:tabs>
              <w:tab w:val="right" w:leader="dot" w:pos="9628"/>
            </w:tabs>
            <w:rPr>
              <w:noProof/>
              <w:color w:val="000000" w:themeColor="text1"/>
            </w:rPr>
          </w:pPr>
          <w:hyperlink w:anchor="_Toc224609979" w:history="1">
            <w:r>
              <w:rPr>
                <w:rStyle w:val="Hyperlink"/>
                <w:noProof/>
                <w:color w:val="000000" w:themeColor="text1"/>
              </w:rPr>
              <w:t>2.1 Cooking Technology Landscape in Lao PDR</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_Toc224609979 \h </w:instrText>
            </w:r>
            <w:r>
              <w:rPr>
                <w:noProof/>
                <w:webHidden/>
                <w:color w:val="000000" w:themeColor="text1"/>
              </w:rPr>
            </w:r>
            <w:r>
              <w:rPr>
                <w:noProof/>
                <w:webHidden/>
                <w:color w:val="000000" w:themeColor="text1"/>
              </w:rPr>
              <w:fldChar w:fldCharType="separate"/>
            </w:r>
            <w:r>
              <w:rPr>
                <w:noProof/>
                <w:webHidden/>
                <w:color w:val="000000" w:themeColor="text1"/>
              </w:rPr>
              <w:t>6</w:t>
            </w:r>
            <w:r>
              <w:rPr>
                <w:noProof/>
                <w:webHidden/>
                <w:color w:val="000000" w:themeColor="text1"/>
              </w:rPr>
              <w:fldChar w:fldCharType="end"/>
            </w:r>
          </w:hyperlink>
        </w:p>
        <w:p w14:paraId="51F7E46C" w14:textId="67C619B0" w:rsidR="0021250A" w:rsidRPr="0021250A" w:rsidRDefault="0021250A">
          <w:pPr>
            <w:pStyle w:val="TOC3"/>
            <w:tabs>
              <w:tab w:val="right" w:leader="dot" w:pos="9628"/>
            </w:tabs>
            <w:rPr>
              <w:noProof/>
              <w:color w:val="000000" w:themeColor="text1"/>
            </w:rPr>
          </w:pPr>
          <w:hyperlink w:anchor="_Toc224609980" w:history="1">
            <w:r>
              <w:rPr>
                <w:rStyle w:val="Hyperlink"/>
                <w:noProof/>
                <w:color w:val="000000" w:themeColor="text1"/>
              </w:rPr>
              <w:t>2.1.1 Traditional Stoves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_Toc224609980 \h </w:instrText>
            </w:r>
            <w:r>
              <w:rPr>
                <w:noProof/>
                <w:webHidden/>
                <w:color w:val="000000" w:themeColor="text1"/>
              </w:rPr>
            </w:r>
            <w:r>
              <w:rPr>
                <w:noProof/>
                <w:webHidden/>
                <w:color w:val="000000" w:themeColor="text1"/>
              </w:rPr>
              <w:fldChar w:fldCharType="separate"/>
            </w:r>
            <w:r>
              <w:rPr>
                <w:noProof/>
                <w:webHidden/>
                <w:color w:val="000000" w:themeColor="text1"/>
              </w:rPr>
              <w:t>6</w:t>
            </w:r>
            <w:r>
              <w:rPr>
                <w:noProof/>
                <w:webHidden/>
                <w:color w:val="000000" w:themeColor="text1"/>
              </w:rPr>
              <w:fldChar w:fldCharType="end"/>
            </w:r>
          </w:hyperlink>
        </w:p>
        <w:p w14:paraId="2E02D429" w14:textId="3017F4D9" w:rsidR="0021250A" w:rsidRPr="0021250A" w:rsidRDefault="0021250A">
          <w:pPr>
            <w:pStyle w:val="TOC3"/>
            <w:tabs>
              <w:tab w:val="right" w:leader="dot" w:pos="9628"/>
            </w:tabs>
            <w:rPr>
              <w:noProof/>
              <w:color w:val="000000" w:themeColor="text1"/>
            </w:rPr>
          </w:pPr>
          <w:hyperlink w:anchor="_Toc224609981" w:history="1">
            <w:r>
              <w:rPr>
                <w:rStyle w:val="Hyperlink"/>
                <w:noProof/>
                <w:color w:val="000000" w:themeColor="text1"/>
              </w:rPr>
              <w:t>2.1.2 Improved Cookstoves (ICS)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_Toc224609981 \h </w:instrText>
            </w:r>
            <w:r>
              <w:rPr>
                <w:noProof/>
                <w:webHidden/>
                <w:color w:val="000000" w:themeColor="text1"/>
              </w:rPr>
            </w:r>
            <w:r>
              <w:rPr>
                <w:noProof/>
                <w:webHidden/>
                <w:color w:val="000000" w:themeColor="text1"/>
              </w:rPr>
              <w:fldChar w:fldCharType="separate"/>
            </w:r>
            <w:r>
              <w:rPr>
                <w:noProof/>
                <w:webHidden/>
                <w:color w:val="000000" w:themeColor="text1"/>
              </w:rPr>
              <w:t>7</w:t>
            </w:r>
            <w:r>
              <w:rPr>
                <w:noProof/>
                <w:webHidden/>
                <w:color w:val="000000" w:themeColor="text1"/>
              </w:rPr>
              <w:fldChar w:fldCharType="end"/>
            </w:r>
          </w:hyperlink>
        </w:p>
        <w:p w14:paraId="3D91E2F7" w14:textId="357127AF" w:rsidR="0021250A" w:rsidRPr="0021250A" w:rsidRDefault="0021250A">
          <w:pPr>
            <w:pStyle w:val="TOC3"/>
            <w:tabs>
              <w:tab w:val="right" w:leader="dot" w:pos="9628"/>
            </w:tabs>
            <w:rPr>
              <w:noProof/>
              <w:color w:val="000000" w:themeColor="text1"/>
            </w:rPr>
          </w:pPr>
          <w:hyperlink w:anchor="_Toc224609982" w:history="1">
            <w:r>
              <w:rPr>
                <w:rStyle w:val="Hyperlink"/>
                <w:noProof/>
                <w:color w:val="000000" w:themeColor="text1"/>
              </w:rPr>
              <w:t>2.1.3 Modern Energy Technologies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_Toc224609982 \h </w:instrText>
            </w:r>
            <w:r>
              <w:rPr>
                <w:noProof/>
                <w:webHidden/>
                <w:color w:val="000000" w:themeColor="text1"/>
              </w:rPr>
            </w:r>
            <w:r>
              <w:rPr>
                <w:noProof/>
                <w:webHidden/>
                <w:color w:val="000000" w:themeColor="text1"/>
              </w:rPr>
              <w:fldChar w:fldCharType="separate"/>
            </w:r>
            <w:r>
              <w:rPr>
                <w:noProof/>
                <w:webHidden/>
                <w:color w:val="000000" w:themeColor="text1"/>
              </w:rPr>
              <w:t>7</w:t>
            </w:r>
            <w:r>
              <w:rPr>
                <w:noProof/>
                <w:webHidden/>
                <w:color w:val="000000" w:themeColor="text1"/>
              </w:rPr>
              <w:fldChar w:fldCharType="end"/>
            </w:r>
          </w:hyperlink>
        </w:p>
        <w:p w14:paraId="20BCEECE" w14:textId="59AA0962" w:rsidR="0021250A" w:rsidRPr="0021250A" w:rsidRDefault="0021250A">
          <w:pPr>
            <w:pStyle w:val="TOC2"/>
            <w:tabs>
              <w:tab w:val="right" w:leader="dot" w:pos="9628"/>
            </w:tabs>
            <w:rPr>
              <w:noProof/>
              <w:color w:val="000000" w:themeColor="text1"/>
            </w:rPr>
          </w:pPr>
          <w:hyperlink w:anchor="_Toc224609983" w:history="1">
            <w:r>
              <w:rPr>
                <w:rStyle w:val="Hyperlink"/>
                <w:noProof/>
                <w:color w:val="000000" w:themeColor="text1"/>
              </w:rPr>
              <w:t>2.2 Socioeconomic Parameters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_Toc224609983 \h </w:instrText>
            </w:r>
            <w:r>
              <w:rPr>
                <w:noProof/>
                <w:webHidden/>
                <w:color w:val="000000" w:themeColor="text1"/>
              </w:rPr>
            </w:r>
            <w:r>
              <w:rPr>
                <w:noProof/>
                <w:webHidden/>
                <w:color w:val="000000" w:themeColor="text1"/>
              </w:rPr>
              <w:fldChar w:fldCharType="separate"/>
            </w:r>
            <w:r>
              <w:rPr>
                <w:noProof/>
                <w:webHidden/>
                <w:color w:val="000000" w:themeColor="text1"/>
              </w:rPr>
              <w:t>7</w:t>
            </w:r>
            <w:r>
              <w:rPr>
                <w:noProof/>
                <w:webHidden/>
                <w:color w:val="000000" w:themeColor="text1"/>
              </w:rPr>
              <w:fldChar w:fldCharType="end"/>
            </w:r>
          </w:hyperlink>
        </w:p>
        <w:p w14:paraId="0B221CD8" w14:textId="31BCE9A9" w:rsidR="0021250A" w:rsidRPr="0021250A" w:rsidRDefault="0021250A">
          <w:pPr>
            <w:pStyle w:val="TOC2"/>
            <w:tabs>
              <w:tab w:val="right" w:leader="dot" w:pos="9628"/>
            </w:tabs>
            <w:rPr>
              <w:noProof/>
              <w:color w:val="000000" w:themeColor="text1"/>
            </w:rPr>
          </w:pPr>
          <w:hyperlink w:anchor="_Toc224609984" w:history="1">
            <w:r>
              <w:rPr>
                <w:rStyle w:val="Hyperlink"/>
                <w:noProof/>
                <w:color w:val="000000" w:themeColor="text1"/>
              </w:rPr>
              <w:t>2.3 Technology Specification Parameters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_Toc224609984 \h </w:instrText>
            </w:r>
            <w:r>
              <w:rPr>
                <w:noProof/>
                <w:webHidden/>
                <w:color w:val="000000" w:themeColor="text1"/>
              </w:rPr>
            </w:r>
            <w:r>
              <w:rPr>
                <w:noProof/>
                <w:webHidden/>
                <w:color w:val="000000" w:themeColor="text1"/>
              </w:rPr>
              <w:fldChar w:fldCharType="separate"/>
            </w:r>
            <w:r>
              <w:rPr>
                <w:noProof/>
                <w:webHidden/>
                <w:color w:val="000000" w:themeColor="text1"/>
              </w:rPr>
              <w:t>8</w:t>
            </w:r>
            <w:r>
              <w:rPr>
                <w:noProof/>
                <w:webHidden/>
                <w:color w:val="000000" w:themeColor="text1"/>
              </w:rPr>
              <w:fldChar w:fldCharType="end"/>
            </w:r>
          </w:hyperlink>
        </w:p>
        <w:p w14:paraId="36B9534D" w14:textId="7FC91027" w:rsidR="0021250A" w:rsidRPr="0021250A" w:rsidRDefault="0021250A">
          <w:pPr>
            <w:pStyle w:val="TOC1"/>
            <w:tabs>
              <w:tab w:val="right" w:leader="dot" w:pos="9628"/>
            </w:tabs>
            <w:rPr>
              <w:noProof/>
              <w:color w:val="000000" w:themeColor="text1"/>
            </w:rPr>
          </w:pPr>
          <w:hyperlink w:anchor="_Toc224609985" w:history="1">
            <w:r>
              <w:rPr>
                <w:rStyle w:val="Hyperlink"/>
                <w:noProof/>
                <w:color w:val="000000" w:themeColor="text1"/>
              </w:rPr>
              <w:t>3. Methodology and Data</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_Toc224609985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7EBD79B9" w14:textId="7426C571" w:rsidR="0021250A" w:rsidRPr="0021250A" w:rsidRDefault="0021250A">
          <w:pPr>
            <w:pStyle w:val="TOC2"/>
            <w:tabs>
              <w:tab w:val="right" w:leader="dot" w:pos="9628"/>
            </w:tabs>
            <w:rPr>
              <w:noProof/>
              <w:color w:val="000000" w:themeColor="text1"/>
            </w:rPr>
          </w:pPr>
          <w:hyperlink w:anchor="_Toc224609986" w:history="1">
            <w:r>
              <w:rPr>
                <w:rStyle w:val="Hyperlink"/>
                <w:noProof/>
                <w:color w:val="000000" w:themeColor="text1"/>
              </w:rPr>
              <w:t>3.1 The OnStove Modelling Framework</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_Toc224609986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45F3BCB8" w14:textId="347FE1B5" w:rsidR="0021250A" w:rsidRPr="0021250A" w:rsidRDefault="0021250A">
          <w:pPr>
            <w:pStyle w:val="TOC2"/>
            <w:tabs>
              <w:tab w:val="right" w:leader="dot" w:pos="9628"/>
            </w:tabs>
            <w:rPr>
              <w:noProof/>
              <w:color w:val="000000" w:themeColor="text1"/>
            </w:rPr>
          </w:pPr>
          <w:hyperlink w:anchor="_Toc224609987" w:history="1">
            <w:r>
              <w:rPr>
                <w:rStyle w:val="Hyperlink"/>
                <w:noProof/>
                <w:color w:val="000000" w:themeColor="text1"/>
              </w:rPr>
              <w:t>3.2 Geospatial Data Inputs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_Toc224609987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329BCB44" w14:textId="66776A28" w:rsidR="0021250A" w:rsidRPr="0021250A" w:rsidRDefault="0021250A">
          <w:pPr>
            <w:pStyle w:val="TOC3"/>
            <w:tabs>
              <w:tab w:val="right" w:leader="dot" w:pos="9628"/>
            </w:tabs>
            <w:rPr>
              <w:noProof/>
              <w:color w:val="000000" w:themeColor="text1"/>
            </w:rPr>
          </w:pPr>
          <w:hyperlink w:anchor="_Toc224609988" w:history="1">
            <w:r>
              <w:rPr>
                <w:rStyle w:val="Hyperlink"/>
                <w:noProof/>
                <w:color w:val="000000" w:themeColor="text1"/>
              </w:rPr>
              <w:t>3.2.1 Administrative Boundaries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_Toc224609988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1DD1C32D" w14:textId="75BEDE5B" w:rsidR="0021250A" w:rsidRPr="0021250A" w:rsidRDefault="0021250A">
          <w:pPr>
            <w:pStyle w:val="TOC3"/>
            <w:tabs>
              <w:tab w:val="right" w:leader="dot" w:pos="9628"/>
            </w:tabs>
            <w:rPr>
              <w:noProof/>
              <w:color w:val="000000" w:themeColor="text1"/>
            </w:rPr>
          </w:pPr>
          <w:hyperlink w:anchor="_Toc224609989" w:history="1">
            <w:r>
              <w:rPr>
                <w:rStyle w:val="Hyperlink"/>
                <w:noProof/>
                <w:color w:val="000000" w:themeColor="text1"/>
              </w:rPr>
              <w:t>3.2.2 Population Data</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_Toc224609989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1339562A" w14:textId="62C1AED0" w:rsidR="0021250A" w:rsidRPr="0021250A" w:rsidRDefault="0021250A">
          <w:pPr>
            <w:pStyle w:val="TOC3"/>
            <w:tabs>
              <w:tab w:val="right" w:leader="dot" w:pos="9628"/>
            </w:tabs>
            <w:rPr>
              <w:noProof/>
              <w:color w:val="000000" w:themeColor="text1"/>
            </w:rPr>
          </w:pPr>
          <w:hyperlink w:anchor="_Toc224609990" w:history="1">
            <w:r>
              <w:rPr>
                <w:rStyle w:val="Hyperlink"/>
                <w:noProof/>
                <w:color w:val="000000" w:themeColor="text1"/>
              </w:rPr>
              <w:t>3.2.3 Electricity Infrastructure</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_Toc224609990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19AB414F" w14:textId="5DEF3E1D" w:rsidR="0021250A" w:rsidRPr="0021250A" w:rsidRDefault="0021250A">
          <w:pPr>
            <w:pStyle w:val="TOC3"/>
            <w:tabs>
              <w:tab w:val="right" w:leader="dot" w:pos="9628"/>
            </w:tabs>
            <w:rPr>
              <w:noProof/>
              <w:color w:val="000000" w:themeColor="text1"/>
            </w:rPr>
          </w:pPr>
          <w:hyperlink w:anchor="_Toc224609991" w:history="1">
            <w:r>
              <w:rPr>
                <w:rStyle w:val="Hyperlink"/>
                <w:noProof/>
                <w:color w:val="000000" w:themeColor="text1"/>
              </w:rPr>
              <w:t>3.2.4 Biomass Availability</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_Toc224609991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59F52214" w14:textId="21B768CC" w:rsidR="0021250A" w:rsidRPr="0021250A" w:rsidRDefault="0021250A">
          <w:pPr>
            <w:pStyle w:val="TOC3"/>
            <w:tabs>
              <w:tab w:val="right" w:leader="dot" w:pos="9628"/>
            </w:tabs>
            <w:rPr>
              <w:noProof/>
              <w:color w:val="000000" w:themeColor="text1"/>
            </w:rPr>
          </w:pPr>
          <w:hyperlink w:anchor="_Toc224609992" w:history="1">
            <w:r>
              <w:rPr>
                <w:rStyle w:val="Hyperlink"/>
                <w:noProof/>
                <w:color w:val="000000" w:themeColor="text1"/>
              </w:rPr>
              <w:t>3.2.5 Base Layer</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_Toc224609992 \h </w:instrText>
            </w:r>
            <w:r>
              <w:rPr>
                <w:noProof/>
                <w:webHidden/>
                <w:color w:val="000000" w:themeColor="text1"/>
              </w:rPr>
            </w:r>
            <w:r>
              <w:rPr>
                <w:noProof/>
                <w:webHidden/>
                <w:color w:val="000000" w:themeColor="text1"/>
              </w:rPr>
              <w:fldChar w:fldCharType="separate"/>
            </w:r>
            <w:r>
              <w:rPr>
                <w:noProof/>
                <w:webHidden/>
                <w:color w:val="000000" w:themeColor="text1"/>
              </w:rPr>
              <w:t>10</w:t>
            </w:r>
            <w:r>
              <w:rPr>
                <w:noProof/>
                <w:webHidden/>
                <w:color w:val="000000" w:themeColor="text1"/>
              </w:rPr>
              <w:fldChar w:fldCharType="end"/>
            </w:r>
          </w:hyperlink>
        </w:p>
        <w:p w14:paraId="2C2943D1" w14:textId="63E6EB5A" w:rsidR="0021250A" w:rsidRPr="0021250A" w:rsidRDefault="0021250A">
          <w:pPr>
            <w:pStyle w:val="TOC2"/>
            <w:tabs>
              <w:tab w:val="right" w:leader="dot" w:pos="9628"/>
            </w:tabs>
            <w:rPr>
              <w:noProof/>
              <w:color w:val="000000" w:themeColor="text1"/>
            </w:rPr>
          </w:pPr>
          <w:hyperlink w:anchor="_Toc224609993" w:history="1">
            <w:r>
              <w:rPr>
                <w:rStyle w:val="Hyperlink"/>
                <w:noProof/>
                <w:color w:val="000000" w:themeColor="text1"/>
              </w:rPr>
              <w:t>3.3 Urban and Rural Classification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_Toc224609993 \h </w:instrText>
            </w:r>
            <w:r>
              <w:rPr>
                <w:noProof/>
                <w:webHidden/>
                <w:color w:val="000000" w:themeColor="text1"/>
              </w:rPr>
            </w:r>
            <w:r>
              <w:rPr>
                <w:noProof/>
                <w:webHidden/>
                <w:color w:val="000000" w:themeColor="text1"/>
              </w:rPr>
              <w:fldChar w:fldCharType="separate"/>
            </w:r>
            <w:r>
              <w:rPr>
                <w:noProof/>
                <w:webHidden/>
                <w:color w:val="000000" w:themeColor="text1"/>
              </w:rPr>
              <w:t>11</w:t>
            </w:r>
            <w:r>
              <w:rPr>
                <w:noProof/>
                <w:webHidden/>
                <w:color w:val="000000" w:themeColor="text1"/>
              </w:rPr>
              <w:fldChar w:fldCharType="end"/>
            </w:r>
          </w:hyperlink>
        </w:p>
        <w:p w14:paraId="461B67A4" w14:textId="22D8BA2B" w:rsidR="0021250A" w:rsidRPr="0021250A" w:rsidRDefault="0021250A">
          <w:pPr>
            <w:pStyle w:val="TOC2"/>
            <w:tabs>
              <w:tab w:val="right" w:leader="dot" w:pos="9628"/>
            </w:tabs>
            <w:rPr>
              <w:noProof/>
              <w:color w:val="000000" w:themeColor="text1"/>
            </w:rPr>
          </w:pPr>
          <w:hyperlink w:anchor="_Toc224609994" w:history="1">
            <w:r>
              <w:rPr>
                <w:rStyle w:val="Hyperlink"/>
                <w:noProof/>
                <w:color w:val="000000" w:themeColor="text1"/>
              </w:rPr>
              <w:t>3.4 Program Workflow and Simulation Logic</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_Toc224609994 \h </w:instrText>
            </w:r>
            <w:r>
              <w:rPr>
                <w:noProof/>
                <w:webHidden/>
                <w:color w:val="000000" w:themeColor="text1"/>
              </w:rPr>
            </w:r>
            <w:r>
              <w:rPr>
                <w:noProof/>
                <w:webHidden/>
                <w:color w:val="000000" w:themeColor="text1"/>
              </w:rPr>
              <w:fldChar w:fldCharType="separate"/>
            </w:r>
            <w:r>
              <w:rPr>
                <w:noProof/>
                <w:webHidden/>
                <w:color w:val="000000" w:themeColor="text1"/>
              </w:rPr>
              <w:t>11</w:t>
            </w:r>
            <w:r>
              <w:rPr>
                <w:noProof/>
                <w:webHidden/>
                <w:color w:val="000000" w:themeColor="text1"/>
              </w:rPr>
              <w:fldChar w:fldCharType="end"/>
            </w:r>
          </w:hyperlink>
        </w:p>
        <w:p w14:paraId="2463D9B1" w14:textId="6F71840C" w:rsidR="0021250A" w:rsidRPr="0021250A" w:rsidRDefault="0021250A">
          <w:pPr>
            <w:pStyle w:val="TOC2"/>
            <w:tabs>
              <w:tab w:val="right" w:leader="dot" w:pos="9628"/>
            </w:tabs>
            <w:rPr>
              <w:noProof/>
              <w:color w:val="000000" w:themeColor="text1"/>
            </w:rPr>
          </w:pPr>
          <w:hyperlink w:anchor="_Toc224609995" w:history="1">
            <w:r>
              <w:rPr>
                <w:rStyle w:val="Hyperlink"/>
                <w:noProof/>
                <w:color w:val="000000" w:themeColor="text1"/>
              </w:rPr>
              <w:t>3.5 Core Calculation Formulas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_Toc224609995 \h </w:instrText>
            </w:r>
            <w:r>
              <w:rPr>
                <w:noProof/>
                <w:webHidden/>
                <w:color w:val="000000" w:themeColor="text1"/>
              </w:rPr>
            </w:r>
            <w:r>
              <w:rPr>
                <w:noProof/>
                <w:webHidden/>
                <w:color w:val="000000" w:themeColor="text1"/>
              </w:rPr>
              <w:fldChar w:fldCharType="separate"/>
            </w:r>
            <w:r>
              <w:rPr>
                <w:noProof/>
                <w:webHidden/>
                <w:color w:val="000000" w:themeColor="text1"/>
              </w:rPr>
              <w:t>11</w:t>
            </w:r>
            <w:r>
              <w:rPr>
                <w:noProof/>
                <w:webHidden/>
                <w:color w:val="000000" w:themeColor="text1"/>
              </w:rPr>
              <w:fldChar w:fldCharType="end"/>
            </w:r>
          </w:hyperlink>
        </w:p>
        <w:p w14:paraId="25A33059" w14:textId="6C706548" w:rsidR="0021250A" w:rsidRPr="0021250A" w:rsidRDefault="0021250A">
          <w:pPr>
            <w:pStyle w:val="TOC2"/>
            <w:tabs>
              <w:tab w:val="right" w:leader="dot" w:pos="9628"/>
            </w:tabs>
            <w:rPr>
              <w:noProof/>
              <w:color w:val="000000" w:themeColor="text1"/>
            </w:rPr>
          </w:pPr>
          <w:hyperlink w:anchor="_Toc224609996" w:history="1">
            <w:r>
              <w:rPr>
                <w:rStyle w:val="Hyperlink"/>
                <w:noProof/>
                <w:color w:val="000000" w:themeColor="text1"/>
              </w:rPr>
              <w:t>3.6 Technology Specifications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_Toc224609996 \h </w:instrText>
            </w:r>
            <w:r>
              <w:rPr>
                <w:noProof/>
                <w:webHidden/>
                <w:color w:val="000000" w:themeColor="text1"/>
              </w:rPr>
            </w:r>
            <w:r>
              <w:rPr>
                <w:noProof/>
                <w:webHidden/>
                <w:color w:val="000000" w:themeColor="text1"/>
              </w:rPr>
              <w:fldChar w:fldCharType="separate"/>
            </w:r>
            <w:r>
              <w:rPr>
                <w:noProof/>
                <w:webHidden/>
                <w:color w:val="000000" w:themeColor="text1"/>
              </w:rPr>
              <w:t>12</w:t>
            </w:r>
            <w:r>
              <w:rPr>
                <w:noProof/>
                <w:webHidden/>
                <w:color w:val="000000" w:themeColor="text1"/>
              </w:rPr>
              <w:fldChar w:fldCharType="end"/>
            </w:r>
          </w:hyperlink>
        </w:p>
        <w:p w14:paraId="00828008" w14:textId="71D3A976" w:rsidR="0021250A" w:rsidRPr="0021250A" w:rsidRDefault="0021250A">
          <w:pPr>
            <w:pStyle w:val="TOC2"/>
            <w:tabs>
              <w:tab w:val="right" w:leader="dot" w:pos="9628"/>
            </w:tabs>
            <w:rPr>
              <w:noProof/>
              <w:color w:val="000000" w:themeColor="text1"/>
            </w:rPr>
          </w:pPr>
          <w:hyperlink w:anchor="_Toc224609997" w:history="1">
            <w:r>
              <w:rPr>
                <w:rStyle w:val="Hyperlink"/>
                <w:noProof/>
                <w:color w:val="000000" w:themeColor="text1"/>
              </w:rPr>
              <w:t>3.7 Socioeconomic Parameters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_Toc224609997 \h </w:instrText>
            </w:r>
            <w:r>
              <w:rPr>
                <w:noProof/>
                <w:webHidden/>
                <w:color w:val="000000" w:themeColor="text1"/>
              </w:rPr>
            </w:r>
            <w:r>
              <w:rPr>
                <w:noProof/>
                <w:webHidden/>
                <w:color w:val="000000" w:themeColor="text1"/>
              </w:rPr>
              <w:fldChar w:fldCharType="separate"/>
            </w:r>
            <w:r>
              <w:rPr>
                <w:noProof/>
                <w:webHidden/>
                <w:color w:val="000000" w:themeColor="text1"/>
              </w:rPr>
              <w:t>12</w:t>
            </w:r>
            <w:r>
              <w:rPr>
                <w:noProof/>
                <w:webHidden/>
                <w:color w:val="000000" w:themeColor="text1"/>
              </w:rPr>
              <w:fldChar w:fldCharType="end"/>
            </w:r>
          </w:hyperlink>
        </w:p>
        <w:p w14:paraId="29766124" w14:textId="3E181D38" w:rsidR="0021250A" w:rsidRPr="0021250A" w:rsidRDefault="0021250A">
          <w:pPr>
            <w:pStyle w:val="TOC2"/>
            <w:tabs>
              <w:tab w:val="right" w:leader="dot" w:pos="9628"/>
            </w:tabs>
            <w:rPr>
              <w:noProof/>
              <w:color w:val="000000" w:themeColor="text1"/>
            </w:rPr>
          </w:pPr>
          <w:hyperlink w:anchor="_Toc224609998" w:history="1">
            <w:r>
              <w:rPr>
                <w:rStyle w:val="Hyperlink"/>
                <w:noProof/>
                <w:color w:val="000000" w:themeColor="text1"/>
              </w:rPr>
              <w:t>3.8 Scenario Design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_Toc224609998 \h </w:instrText>
            </w:r>
            <w:r>
              <w:rPr>
                <w:noProof/>
                <w:webHidden/>
                <w:color w:val="000000" w:themeColor="text1"/>
              </w:rPr>
            </w:r>
            <w:r>
              <w:rPr>
                <w:noProof/>
                <w:webHidden/>
                <w:color w:val="000000" w:themeColor="text1"/>
              </w:rPr>
              <w:fldChar w:fldCharType="separate"/>
            </w:r>
            <w:r>
              <w:rPr>
                <w:noProof/>
                <w:webHidden/>
                <w:color w:val="000000" w:themeColor="text1"/>
              </w:rPr>
              <w:t>12</w:t>
            </w:r>
            <w:r>
              <w:rPr>
                <w:noProof/>
                <w:webHidden/>
                <w:color w:val="000000" w:themeColor="text1"/>
              </w:rPr>
              <w:fldChar w:fldCharType="end"/>
            </w:r>
          </w:hyperlink>
        </w:p>
        <w:p w14:paraId="3D795854" w14:textId="49855130" w:rsidR="0021250A" w:rsidRPr="0021250A" w:rsidRDefault="0021250A">
          <w:pPr>
            <w:pStyle w:val="TOC1"/>
            <w:tabs>
              <w:tab w:val="right" w:leader="dot" w:pos="9628"/>
            </w:tabs>
            <w:rPr>
              <w:noProof/>
              <w:color w:val="000000" w:themeColor="text1"/>
            </w:rPr>
          </w:pPr>
          <w:hyperlink w:anchor="_Toc224609999" w:history="1">
            <w:r>
              <w:rPr>
                <w:rStyle w:val="Hyperlink"/>
                <w:noProof/>
                <w:color w:val="000000" w:themeColor="text1"/>
              </w:rPr>
              <w:t>4. Baseline Cooking Technology Distribution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_Toc224609999 \h </w:instrText>
            </w:r>
            <w:r>
              <w:rPr>
                <w:noProof/>
                <w:webHidden/>
                <w:color w:val="000000" w:themeColor="text1"/>
              </w:rPr>
            </w:r>
            <w:r>
              <w:rPr>
                <w:noProof/>
                <w:webHidden/>
                <w:color w:val="000000" w:themeColor="text1"/>
              </w:rPr>
              <w:fldChar w:fldCharType="separate"/>
            </w:r>
            <w:r>
              <w:rPr>
                <w:noProof/>
                <w:webHidden/>
                <w:color w:val="000000" w:themeColor="text1"/>
              </w:rPr>
              <w:t>14</w:t>
            </w:r>
            <w:r>
              <w:rPr>
                <w:noProof/>
                <w:webHidden/>
                <w:color w:val="000000" w:themeColor="text1"/>
              </w:rPr>
              <w:fldChar w:fldCharType="end"/>
            </w:r>
          </w:hyperlink>
        </w:p>
        <w:p w14:paraId="733E60F9" w14:textId="7F80F8B6" w:rsidR="0021250A" w:rsidRPr="0021250A" w:rsidRDefault="0021250A">
          <w:pPr>
            <w:pStyle w:val="TOC2"/>
            <w:tabs>
              <w:tab w:val="right" w:leader="dot" w:pos="9628"/>
            </w:tabs>
            <w:rPr>
              <w:noProof/>
              <w:color w:val="000000" w:themeColor="text1"/>
            </w:rPr>
          </w:pPr>
          <w:hyperlink w:anchor="_Toc224610000" w:history="1">
            <w:r>
              <w:rPr>
                <w:rStyle w:val="Hyperlink"/>
                <w:noProof/>
                <w:color w:val="000000" w:themeColor="text1"/>
              </w:rPr>
              <w:t>4.1 National Technology Mix</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_Toc224610000 \h </w:instrText>
            </w:r>
            <w:r>
              <w:rPr>
                <w:noProof/>
                <w:webHidden/>
                <w:color w:val="000000" w:themeColor="text1"/>
              </w:rPr>
            </w:r>
            <w:r>
              <w:rPr>
                <w:noProof/>
                <w:webHidden/>
                <w:color w:val="000000" w:themeColor="text1"/>
              </w:rPr>
              <w:fldChar w:fldCharType="separate"/>
            </w:r>
            <w:r>
              <w:rPr>
                <w:noProof/>
                <w:webHidden/>
                <w:color w:val="000000" w:themeColor="text1"/>
              </w:rPr>
              <w:t>14</w:t>
            </w:r>
            <w:r>
              <w:rPr>
                <w:noProof/>
                <w:webHidden/>
                <w:color w:val="000000" w:themeColor="text1"/>
              </w:rPr>
              <w:fldChar w:fldCharType="end"/>
            </w:r>
          </w:hyperlink>
        </w:p>
        <w:p w14:paraId="3B1B1982" w14:textId="5064CB7F" w:rsidR="0021250A" w:rsidRPr="0021250A" w:rsidRDefault="0021250A">
          <w:pPr>
            <w:pStyle w:val="TOC2"/>
            <w:tabs>
              <w:tab w:val="right" w:leader="dot" w:pos="9628"/>
            </w:tabs>
            <w:rPr>
              <w:noProof/>
              <w:color w:val="000000" w:themeColor="text1"/>
            </w:rPr>
          </w:pPr>
          <w:hyperlink w:anchor="_Toc224610001" w:history="1">
            <w:r>
              <w:rPr>
                <w:rStyle w:val="Hyperlink"/>
                <w:noProof/>
                <w:color w:val="000000" w:themeColor="text1"/>
              </w:rPr>
              <w:t>4.2 Urban–Rural Technology Divide</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_Toc224610001 \h </w:instrText>
            </w:r>
            <w:r>
              <w:rPr>
                <w:noProof/>
                <w:webHidden/>
                <w:color w:val="000000" w:themeColor="text1"/>
              </w:rPr>
            </w:r>
            <w:r>
              <w:rPr>
                <w:noProof/>
                <w:webHidden/>
                <w:color w:val="000000" w:themeColor="text1"/>
              </w:rPr>
              <w:fldChar w:fldCharType="separate"/>
            </w:r>
            <w:r>
              <w:rPr>
                <w:noProof/>
                <w:webHidden/>
                <w:color w:val="000000" w:themeColor="text1"/>
              </w:rPr>
              <w:t>14</w:t>
            </w:r>
            <w:r>
              <w:rPr>
                <w:noProof/>
                <w:webHidden/>
                <w:color w:val="000000" w:themeColor="text1"/>
              </w:rPr>
              <w:fldChar w:fldCharType="end"/>
            </w:r>
          </w:hyperlink>
        </w:p>
        <w:p w14:paraId="19AE5D2E" w14:textId="2F1589A8" w:rsidR="0021250A" w:rsidRPr="0021250A" w:rsidRDefault="0021250A">
          <w:pPr>
            <w:pStyle w:val="TOC1"/>
            <w:tabs>
              <w:tab w:val="right" w:leader="dot" w:pos="9628"/>
            </w:tabs>
            <w:rPr>
              <w:noProof/>
              <w:color w:val="000000" w:themeColor="text1"/>
            </w:rPr>
          </w:pPr>
          <w:hyperlink w:anchor="_Toc224610002" w:history="1">
            <w:r>
              <w:rPr>
                <w:rStyle w:val="Hyperlink"/>
                <w:noProof/>
                <w:color w:val="000000" w:themeColor="text1"/>
              </w:rPr>
              <w:t>5. Scenario Analysis: Clean Cooking Transition 2025–2030</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_Toc224610002 \h </w:instrText>
            </w:r>
            <w:r>
              <w:rPr>
                <w:noProof/>
                <w:webHidden/>
                <w:color w:val="000000" w:themeColor="text1"/>
              </w:rPr>
            </w:r>
            <w:r>
              <w:rPr>
                <w:noProof/>
                <w:webHidden/>
                <w:color w:val="000000" w:themeColor="text1"/>
              </w:rPr>
              <w:fldChar w:fldCharType="separate"/>
            </w:r>
            <w:r>
              <w:rPr>
                <w:noProof/>
                <w:webHidden/>
                <w:color w:val="000000" w:themeColor="text1"/>
              </w:rPr>
              <w:t>16</w:t>
            </w:r>
            <w:r>
              <w:rPr>
                <w:noProof/>
                <w:webHidden/>
                <w:color w:val="000000" w:themeColor="text1"/>
              </w:rPr>
              <w:fldChar w:fldCharType="end"/>
            </w:r>
          </w:hyperlink>
        </w:p>
        <w:p w14:paraId="51397617" w14:textId="31ADDEA9" w:rsidR="0021250A" w:rsidRPr="0021250A" w:rsidRDefault="0021250A">
          <w:pPr>
            <w:pStyle w:val="TOC2"/>
            <w:tabs>
              <w:tab w:val="right" w:leader="dot" w:pos="9628"/>
            </w:tabs>
            <w:rPr>
              <w:noProof/>
              <w:color w:val="000000" w:themeColor="text1"/>
            </w:rPr>
          </w:pPr>
          <w:hyperlink w:anchor="_Toc224610003" w:history="1">
            <w:r>
              <w:rPr>
                <w:rStyle w:val="Hyperlink"/>
                <w:noProof/>
                <w:color w:val="000000" w:themeColor="text1"/>
              </w:rPr>
              <w:t>5.1 Evolution of Technology Distribution</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_Toc224610003 \h </w:instrText>
            </w:r>
            <w:r>
              <w:rPr>
                <w:noProof/>
                <w:webHidden/>
                <w:color w:val="000000" w:themeColor="text1"/>
              </w:rPr>
            </w:r>
            <w:r>
              <w:rPr>
                <w:noProof/>
                <w:webHidden/>
                <w:color w:val="000000" w:themeColor="text1"/>
              </w:rPr>
              <w:fldChar w:fldCharType="separate"/>
            </w:r>
            <w:r>
              <w:rPr>
                <w:noProof/>
                <w:webHidden/>
                <w:color w:val="000000" w:themeColor="text1"/>
              </w:rPr>
              <w:t>16</w:t>
            </w:r>
            <w:r>
              <w:rPr>
                <w:noProof/>
                <w:webHidden/>
                <w:color w:val="000000" w:themeColor="text1"/>
              </w:rPr>
              <w:fldChar w:fldCharType="end"/>
            </w:r>
          </w:hyperlink>
        </w:p>
        <w:p w14:paraId="24743C08" w14:textId="1FEF3A4B" w:rsidR="0021250A" w:rsidRPr="0021250A" w:rsidRDefault="0021250A">
          <w:pPr>
            <w:pStyle w:val="TOC3"/>
            <w:tabs>
              <w:tab w:val="right" w:leader="dot" w:pos="9628"/>
            </w:tabs>
            <w:rPr>
              <w:noProof/>
              <w:color w:val="000000" w:themeColor="text1"/>
            </w:rPr>
          </w:pPr>
          <w:hyperlink w:anchor="_Toc224610004" w:history="1">
            <w:r>
              <w:rPr>
                <w:rStyle w:val="Hyperlink"/>
                <w:noProof/>
                <w:color w:val="000000" w:themeColor="text1"/>
              </w:rPr>
              <w:t>5.1.1 Scenario 2026</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_Toc224610004 \h </w:instrText>
            </w:r>
            <w:r>
              <w:rPr>
                <w:noProof/>
                <w:webHidden/>
                <w:color w:val="000000" w:themeColor="text1"/>
              </w:rPr>
            </w:r>
            <w:r>
              <w:rPr>
                <w:noProof/>
                <w:webHidden/>
                <w:color w:val="000000" w:themeColor="text1"/>
              </w:rPr>
              <w:fldChar w:fldCharType="separate"/>
            </w:r>
            <w:r>
              <w:rPr>
                <w:noProof/>
                <w:webHidden/>
                <w:color w:val="000000" w:themeColor="text1"/>
              </w:rPr>
              <w:t>16</w:t>
            </w:r>
            <w:r>
              <w:rPr>
                <w:noProof/>
                <w:webHidden/>
                <w:color w:val="000000" w:themeColor="text1"/>
              </w:rPr>
              <w:fldChar w:fldCharType="end"/>
            </w:r>
          </w:hyperlink>
        </w:p>
        <w:p w14:paraId="1A2FB30F" w14:textId="7B6B5379" w:rsidR="0021250A" w:rsidRPr="0021250A" w:rsidRDefault="0021250A">
          <w:pPr>
            <w:pStyle w:val="TOC3"/>
            <w:tabs>
              <w:tab w:val="right" w:leader="dot" w:pos="9628"/>
            </w:tabs>
            <w:rPr>
              <w:noProof/>
              <w:color w:val="000000" w:themeColor="text1"/>
            </w:rPr>
          </w:pPr>
          <w:hyperlink w:anchor="_Toc224610005" w:history="1">
            <w:r>
              <w:rPr>
                <w:rStyle w:val="Hyperlink"/>
                <w:noProof/>
                <w:color w:val="000000" w:themeColor="text1"/>
              </w:rPr>
              <w:t>5.1.2 Scenario 2027</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_Toc224610005 \h </w:instrText>
            </w:r>
            <w:r>
              <w:rPr>
                <w:noProof/>
                <w:webHidden/>
                <w:color w:val="000000" w:themeColor="text1"/>
              </w:rPr>
            </w:r>
            <w:r>
              <w:rPr>
                <w:noProof/>
                <w:webHidden/>
                <w:color w:val="000000" w:themeColor="text1"/>
              </w:rPr>
              <w:fldChar w:fldCharType="separate"/>
            </w:r>
            <w:r>
              <w:rPr>
                <w:noProof/>
                <w:webHidden/>
                <w:color w:val="000000" w:themeColor="text1"/>
              </w:rPr>
              <w:t>16</w:t>
            </w:r>
            <w:r>
              <w:rPr>
                <w:noProof/>
                <w:webHidden/>
                <w:color w:val="000000" w:themeColor="text1"/>
              </w:rPr>
              <w:fldChar w:fldCharType="end"/>
            </w:r>
          </w:hyperlink>
        </w:p>
        <w:p w14:paraId="32F50A1C" w14:textId="24B47EBF" w:rsidR="0021250A" w:rsidRPr="0021250A" w:rsidRDefault="0021250A">
          <w:pPr>
            <w:pStyle w:val="TOC3"/>
            <w:tabs>
              <w:tab w:val="right" w:leader="dot" w:pos="9628"/>
            </w:tabs>
            <w:rPr>
              <w:noProof/>
              <w:color w:val="000000" w:themeColor="text1"/>
            </w:rPr>
          </w:pPr>
          <w:hyperlink w:anchor="_Toc224610006" w:history="1">
            <w:r>
              <w:rPr>
                <w:rStyle w:val="Hyperlink"/>
                <w:noProof/>
                <w:color w:val="000000" w:themeColor="text1"/>
              </w:rPr>
              <w:t>5.1.3 Scenario 2028</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_Toc224610006 \h </w:instrText>
            </w:r>
            <w:r>
              <w:rPr>
                <w:noProof/>
                <w:webHidden/>
                <w:color w:val="000000" w:themeColor="text1"/>
              </w:rPr>
            </w:r>
            <w:r>
              <w:rPr>
                <w:noProof/>
                <w:webHidden/>
                <w:color w:val="000000" w:themeColor="text1"/>
              </w:rPr>
              <w:fldChar w:fldCharType="separate"/>
            </w:r>
            <w:r>
              <w:rPr>
                <w:noProof/>
                <w:webHidden/>
                <w:color w:val="000000" w:themeColor="text1"/>
              </w:rPr>
              <w:t>17</w:t>
            </w:r>
            <w:r>
              <w:rPr>
                <w:noProof/>
                <w:webHidden/>
                <w:color w:val="000000" w:themeColor="text1"/>
              </w:rPr>
              <w:fldChar w:fldCharType="end"/>
            </w:r>
          </w:hyperlink>
        </w:p>
        <w:p w14:paraId="7D91AED5" w14:textId="3466966D" w:rsidR="0021250A" w:rsidRPr="0021250A" w:rsidRDefault="0021250A">
          <w:pPr>
            <w:pStyle w:val="TOC3"/>
            <w:tabs>
              <w:tab w:val="right" w:leader="dot" w:pos="9628"/>
            </w:tabs>
            <w:rPr>
              <w:noProof/>
              <w:color w:val="000000" w:themeColor="text1"/>
            </w:rPr>
          </w:pPr>
          <w:hyperlink w:anchor="_Toc224610007" w:history="1">
            <w:r>
              <w:rPr>
                <w:rStyle w:val="Hyperlink"/>
                <w:noProof/>
                <w:color w:val="000000" w:themeColor="text1"/>
              </w:rPr>
              <w:t>5.1.4 Scenario 2029</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_Toc224610007 \h </w:instrText>
            </w:r>
            <w:r>
              <w:rPr>
                <w:noProof/>
                <w:webHidden/>
                <w:color w:val="000000" w:themeColor="text1"/>
              </w:rPr>
            </w:r>
            <w:r>
              <w:rPr>
                <w:noProof/>
                <w:webHidden/>
                <w:color w:val="000000" w:themeColor="text1"/>
              </w:rPr>
              <w:fldChar w:fldCharType="separate"/>
            </w:r>
            <w:r>
              <w:rPr>
                <w:noProof/>
                <w:webHidden/>
                <w:color w:val="000000" w:themeColor="text1"/>
              </w:rPr>
              <w:t>18</w:t>
            </w:r>
            <w:r>
              <w:rPr>
                <w:noProof/>
                <w:webHidden/>
                <w:color w:val="000000" w:themeColor="text1"/>
              </w:rPr>
              <w:fldChar w:fldCharType="end"/>
            </w:r>
          </w:hyperlink>
        </w:p>
        <w:p w14:paraId="58ED1957" w14:textId="14185D94" w:rsidR="0021250A" w:rsidRPr="0021250A" w:rsidRDefault="0021250A">
          <w:pPr>
            <w:pStyle w:val="TOC3"/>
            <w:tabs>
              <w:tab w:val="right" w:leader="dot" w:pos="9628"/>
            </w:tabs>
            <w:rPr>
              <w:noProof/>
              <w:color w:val="000000" w:themeColor="text1"/>
            </w:rPr>
          </w:pPr>
          <w:hyperlink w:anchor="_Toc224610008" w:history="1">
            <w:r>
              <w:rPr>
                <w:rStyle w:val="Hyperlink"/>
                <w:noProof/>
                <w:color w:val="000000" w:themeColor="text1"/>
              </w:rPr>
              <w:t>5.1.5 Scenario 2030</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_Toc224610008 \h </w:instrText>
            </w:r>
            <w:r>
              <w:rPr>
                <w:noProof/>
                <w:webHidden/>
                <w:color w:val="000000" w:themeColor="text1"/>
              </w:rPr>
            </w:r>
            <w:r>
              <w:rPr>
                <w:noProof/>
                <w:webHidden/>
                <w:color w:val="000000" w:themeColor="text1"/>
              </w:rPr>
              <w:fldChar w:fldCharType="separate"/>
            </w:r>
            <w:r>
              <w:rPr>
                <w:noProof/>
                <w:webHidden/>
                <w:color w:val="000000" w:themeColor="text1"/>
              </w:rPr>
              <w:t>19</w:t>
            </w:r>
            <w:r>
              <w:rPr>
                <w:noProof/>
                <w:webHidden/>
                <w:color w:val="000000" w:themeColor="text1"/>
              </w:rPr>
              <w:fldChar w:fldCharType="end"/>
            </w:r>
          </w:hyperlink>
        </w:p>
        <w:p w14:paraId="1AF1F11B" w14:textId="4DAC5EC5" w:rsidR="0021250A" w:rsidRPr="0021250A" w:rsidRDefault="0021250A">
          <w:pPr>
            <w:pStyle w:val="TOC2"/>
            <w:tabs>
              <w:tab w:val="right" w:leader="dot" w:pos="9628"/>
            </w:tabs>
            <w:rPr>
              <w:noProof/>
              <w:color w:val="000000" w:themeColor="text1"/>
            </w:rPr>
          </w:pPr>
          <w:hyperlink w:anchor="_Toc224610009" w:history="1">
            <w:r>
              <w:rPr>
                <w:rStyle w:val="Hyperlink"/>
                <w:noProof/>
                <w:color w:val="000000" w:themeColor="text1"/>
              </w:rPr>
              <w:t>5.2 Key Outcome Metrics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_Toc224610009 \h </w:instrText>
            </w:r>
            <w:r>
              <w:rPr>
                <w:noProof/>
                <w:webHidden/>
                <w:color w:val="000000" w:themeColor="text1"/>
              </w:rPr>
            </w:r>
            <w:r>
              <w:rPr>
                <w:noProof/>
                <w:webHidden/>
                <w:color w:val="000000" w:themeColor="text1"/>
              </w:rPr>
              <w:fldChar w:fldCharType="separate"/>
            </w:r>
            <w:r>
              <w:rPr>
                <w:noProof/>
                <w:webHidden/>
                <w:color w:val="000000" w:themeColor="text1"/>
              </w:rPr>
              <w:t>20</w:t>
            </w:r>
            <w:r>
              <w:rPr>
                <w:noProof/>
                <w:webHidden/>
                <w:color w:val="000000" w:themeColor="text1"/>
              </w:rPr>
              <w:fldChar w:fldCharType="end"/>
            </w:r>
          </w:hyperlink>
        </w:p>
        <w:p w14:paraId="4EBB4BC2" w14:textId="22AD2016" w:rsidR="0021250A" w:rsidRPr="0021250A" w:rsidRDefault="0021250A">
          <w:pPr>
            <w:pStyle w:val="TOC2"/>
            <w:tabs>
              <w:tab w:val="right" w:leader="dot" w:pos="9628"/>
            </w:tabs>
            <w:rPr>
              <w:noProof/>
              <w:color w:val="000000" w:themeColor="text1"/>
            </w:rPr>
          </w:pPr>
          <w:hyperlink w:anchor="_Toc224610010" w:history="1">
            <w:r>
              <w:rPr>
                <w:rStyle w:val="Hyperlink"/>
                <w:noProof/>
                <w:color w:val="000000" w:themeColor="text1"/>
              </w:rPr>
              <w:t>5.3 Investment Requirements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_Toc224610010 \h </w:instrText>
            </w:r>
            <w:r>
              <w:rPr>
                <w:noProof/>
                <w:webHidden/>
                <w:color w:val="000000" w:themeColor="text1"/>
              </w:rPr>
            </w:r>
            <w:r>
              <w:rPr>
                <w:noProof/>
                <w:webHidden/>
                <w:color w:val="000000" w:themeColor="text1"/>
              </w:rPr>
              <w:fldChar w:fldCharType="separate"/>
            </w:r>
            <w:r>
              <w:rPr>
                <w:noProof/>
                <w:webHidden/>
                <w:color w:val="000000" w:themeColor="text1"/>
              </w:rPr>
              <w:t>21</w:t>
            </w:r>
            <w:r>
              <w:rPr>
                <w:noProof/>
                <w:webHidden/>
                <w:color w:val="000000" w:themeColor="text1"/>
              </w:rPr>
              <w:fldChar w:fldCharType="end"/>
            </w:r>
          </w:hyperlink>
        </w:p>
        <w:p w14:paraId="02563F1A" w14:textId="3C369AAB" w:rsidR="0021250A" w:rsidRPr="0021250A" w:rsidRDefault="0021250A">
          <w:pPr>
            <w:pStyle w:val="TOC2"/>
            <w:tabs>
              <w:tab w:val="right" w:leader="dot" w:pos="9628"/>
            </w:tabs>
            <w:rPr>
              <w:noProof/>
              <w:color w:val="000000" w:themeColor="text1"/>
            </w:rPr>
          </w:pPr>
          <w:hyperlink w:anchor="_Toc224610011" w:history="1">
            <w:r>
              <w:rPr>
                <w:rStyle w:val="Hyperlink"/>
                <w:noProof/>
                <w:color w:val="000000" w:themeColor="text1"/>
              </w:rPr>
              <w:t>5.4 Energy Consumption Trends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_Toc224610011 \h </w:instrText>
            </w:r>
            <w:r>
              <w:rPr>
                <w:noProof/>
                <w:webHidden/>
                <w:color w:val="000000" w:themeColor="text1"/>
              </w:rPr>
            </w:r>
            <w:r>
              <w:rPr>
                <w:noProof/>
                <w:webHidden/>
                <w:color w:val="000000" w:themeColor="text1"/>
              </w:rPr>
              <w:fldChar w:fldCharType="separate"/>
            </w:r>
            <w:r>
              <w:rPr>
                <w:noProof/>
                <w:webHidden/>
                <w:color w:val="000000" w:themeColor="text1"/>
              </w:rPr>
              <w:t>21</w:t>
            </w:r>
            <w:r>
              <w:rPr>
                <w:noProof/>
                <w:webHidden/>
                <w:color w:val="000000" w:themeColor="text1"/>
              </w:rPr>
              <w:fldChar w:fldCharType="end"/>
            </w:r>
          </w:hyperlink>
        </w:p>
        <w:p w14:paraId="41BF71F5" w14:textId="2AFA6ACF" w:rsidR="0021250A" w:rsidRPr="0021250A" w:rsidRDefault="0021250A">
          <w:pPr>
            <w:pStyle w:val="TOC2"/>
            <w:tabs>
              <w:tab w:val="right" w:leader="dot" w:pos="9628"/>
            </w:tabs>
            <w:rPr>
              <w:noProof/>
              <w:color w:val="000000" w:themeColor="text1"/>
            </w:rPr>
          </w:pPr>
          <w:hyperlink w:anchor="_Toc224610012" w:history="1">
            <w:r>
              <w:rPr>
                <w:rStyle w:val="Hyperlink"/>
                <w:noProof/>
                <w:color w:val="000000" w:themeColor="text1"/>
              </w:rPr>
              <w:t>5.5 CO</w:t>
            </w:r>
            <w:r>
              <w:rPr>
                <w:rStyle w:val="Hyperlink"/>
                <w:rFonts w:ascii="Cambria Math" w:hAnsi="Cambria Math" w:cs="Cambria Math"/>
                <w:noProof/>
                <w:color w:val="000000" w:themeColor="text1"/>
              </w:rPr>
              <w:t>₂</w:t>
            </w:r>
            <w:r>
              <w:rPr>
                <w:rStyle w:val="Hyperlink"/>
                <w:noProof/>
                <w:color w:val="000000" w:themeColor="text1"/>
              </w:rPr>
              <w:t xml:space="preserve"> Emission Reductions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_Toc224610012 \h </w:instrText>
            </w:r>
            <w:r>
              <w:rPr>
                <w:noProof/>
                <w:webHidden/>
                <w:color w:val="000000" w:themeColor="text1"/>
              </w:rPr>
            </w:r>
            <w:r>
              <w:rPr>
                <w:noProof/>
                <w:webHidden/>
                <w:color w:val="000000" w:themeColor="text1"/>
              </w:rPr>
              <w:fldChar w:fldCharType="separate"/>
            </w:r>
            <w:r>
              <w:rPr>
                <w:noProof/>
                <w:webHidden/>
                <w:color w:val="000000" w:themeColor="text1"/>
              </w:rPr>
              <w:t>22</w:t>
            </w:r>
            <w:r>
              <w:rPr>
                <w:noProof/>
                <w:webHidden/>
                <w:color w:val="000000" w:themeColor="text1"/>
              </w:rPr>
              <w:fldChar w:fldCharType="end"/>
            </w:r>
          </w:hyperlink>
        </w:p>
        <w:p w14:paraId="68838F9B" w14:textId="2DF55C7A" w:rsidR="0021250A" w:rsidRPr="0021250A" w:rsidRDefault="0021250A">
          <w:pPr>
            <w:pStyle w:val="TOC2"/>
            <w:tabs>
              <w:tab w:val="right" w:leader="dot" w:pos="9628"/>
            </w:tabs>
            <w:rPr>
              <w:noProof/>
              <w:color w:val="000000" w:themeColor="text1"/>
            </w:rPr>
          </w:pPr>
          <w:hyperlink w:anchor="_Toc224610013" w:history="1">
            <w:r>
              <w:rPr>
                <w:rStyle w:val="Hyperlink"/>
                <w:noProof/>
                <w:color w:val="000000" w:themeColor="text1"/>
              </w:rPr>
              <w:t>5.6 Net Economic Gains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_Toc224610013 \h </w:instrText>
            </w:r>
            <w:r>
              <w:rPr>
                <w:noProof/>
                <w:webHidden/>
                <w:color w:val="000000" w:themeColor="text1"/>
              </w:rPr>
            </w:r>
            <w:r>
              <w:rPr>
                <w:noProof/>
                <w:webHidden/>
                <w:color w:val="000000" w:themeColor="text1"/>
              </w:rPr>
              <w:fldChar w:fldCharType="separate"/>
            </w:r>
            <w:r>
              <w:rPr>
                <w:noProof/>
                <w:webHidden/>
                <w:color w:val="000000" w:themeColor="text1"/>
              </w:rPr>
              <w:t>23</w:t>
            </w:r>
            <w:r>
              <w:rPr>
                <w:noProof/>
                <w:webHidden/>
                <w:color w:val="000000" w:themeColor="text1"/>
              </w:rPr>
              <w:fldChar w:fldCharType="end"/>
            </w:r>
          </w:hyperlink>
        </w:p>
        <w:p w14:paraId="1A2928B8" w14:textId="6F311868" w:rsidR="0021250A" w:rsidRPr="0021250A" w:rsidRDefault="0021250A">
          <w:pPr>
            <w:pStyle w:val="TOC1"/>
            <w:tabs>
              <w:tab w:val="right" w:leader="dot" w:pos="9628"/>
            </w:tabs>
            <w:rPr>
              <w:noProof/>
              <w:color w:val="000000" w:themeColor="text1"/>
            </w:rPr>
          </w:pPr>
          <w:hyperlink w:anchor="_Toc224610014" w:history="1">
            <w:r>
              <w:rPr>
                <w:rStyle w:val="Hyperlink"/>
                <w:noProof/>
                <w:color w:val="000000" w:themeColor="text1"/>
              </w:rPr>
              <w:t>6. Discussion and Policy Implications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_Toc224610014 \h </w:instrText>
            </w:r>
            <w:r>
              <w:rPr>
                <w:noProof/>
                <w:webHidden/>
                <w:color w:val="000000" w:themeColor="text1"/>
              </w:rPr>
            </w:r>
            <w:r>
              <w:rPr>
                <w:noProof/>
                <w:webHidden/>
                <w:color w:val="000000" w:themeColor="text1"/>
              </w:rPr>
              <w:fldChar w:fldCharType="separate"/>
            </w:r>
            <w:r>
              <w:rPr>
                <w:noProof/>
                <w:webHidden/>
                <w:color w:val="000000" w:themeColor="text1"/>
              </w:rPr>
              <w:t>25</w:t>
            </w:r>
            <w:r>
              <w:rPr>
                <w:noProof/>
                <w:webHidden/>
                <w:color w:val="000000" w:themeColor="text1"/>
              </w:rPr>
              <w:fldChar w:fldCharType="end"/>
            </w:r>
          </w:hyperlink>
        </w:p>
        <w:p w14:paraId="380BD48A" w14:textId="2389D5D1" w:rsidR="0021250A" w:rsidRPr="0021250A" w:rsidRDefault="0021250A">
          <w:pPr>
            <w:pStyle w:val="TOC2"/>
            <w:tabs>
              <w:tab w:val="right" w:leader="dot" w:pos="9628"/>
            </w:tabs>
            <w:rPr>
              <w:noProof/>
              <w:color w:val="000000" w:themeColor="text1"/>
            </w:rPr>
          </w:pPr>
          <w:hyperlink w:anchor="_Toc224610015" w:history="1">
            <w:r>
              <w:rPr>
                <w:rStyle w:val="Hyperlink"/>
                <w:noProof/>
                <w:color w:val="000000" w:themeColor="text1"/>
              </w:rPr>
              <w:t>6.1 Implications for National Policy</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_Toc224610015 \h </w:instrText>
            </w:r>
            <w:r>
              <w:rPr>
                <w:noProof/>
                <w:webHidden/>
                <w:color w:val="000000" w:themeColor="text1"/>
              </w:rPr>
            </w:r>
            <w:r>
              <w:rPr>
                <w:noProof/>
                <w:webHidden/>
                <w:color w:val="000000" w:themeColor="text1"/>
              </w:rPr>
              <w:fldChar w:fldCharType="separate"/>
            </w:r>
            <w:r>
              <w:rPr>
                <w:noProof/>
                <w:webHidden/>
                <w:color w:val="000000" w:themeColor="text1"/>
              </w:rPr>
              <w:t>25</w:t>
            </w:r>
            <w:r>
              <w:rPr>
                <w:noProof/>
                <w:webHidden/>
                <w:color w:val="000000" w:themeColor="text1"/>
              </w:rPr>
              <w:fldChar w:fldCharType="end"/>
            </w:r>
          </w:hyperlink>
        </w:p>
        <w:p w14:paraId="38E586BA" w14:textId="17FAE776" w:rsidR="0021250A" w:rsidRPr="0021250A" w:rsidRDefault="0021250A">
          <w:pPr>
            <w:pStyle w:val="TOC2"/>
            <w:tabs>
              <w:tab w:val="right" w:leader="dot" w:pos="9628"/>
            </w:tabs>
            <w:rPr>
              <w:noProof/>
              <w:color w:val="000000" w:themeColor="text1"/>
            </w:rPr>
          </w:pPr>
          <w:hyperlink w:anchor="_Toc224610016" w:history="1">
            <w:r>
              <w:rPr>
                <w:rStyle w:val="Hyperlink"/>
                <w:noProof/>
                <w:color w:val="000000" w:themeColor="text1"/>
              </w:rPr>
              <w:t>6.2 Carbon Finance Opportunities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_Toc224610016 \h </w:instrText>
            </w:r>
            <w:r>
              <w:rPr>
                <w:noProof/>
                <w:webHidden/>
                <w:color w:val="000000" w:themeColor="text1"/>
              </w:rPr>
            </w:r>
            <w:r>
              <w:rPr>
                <w:noProof/>
                <w:webHidden/>
                <w:color w:val="000000" w:themeColor="text1"/>
              </w:rPr>
              <w:fldChar w:fldCharType="separate"/>
            </w:r>
            <w:r>
              <w:rPr>
                <w:noProof/>
                <w:webHidden/>
                <w:color w:val="000000" w:themeColor="text1"/>
              </w:rPr>
              <w:t>25</w:t>
            </w:r>
            <w:r>
              <w:rPr>
                <w:noProof/>
                <w:webHidden/>
                <w:color w:val="000000" w:themeColor="text1"/>
              </w:rPr>
              <w:fldChar w:fldCharType="end"/>
            </w:r>
          </w:hyperlink>
        </w:p>
        <w:p w14:paraId="586E6A2E" w14:textId="64FA0F72" w:rsidR="0021250A" w:rsidRPr="0021250A" w:rsidRDefault="0021250A">
          <w:pPr>
            <w:pStyle w:val="TOC2"/>
            <w:tabs>
              <w:tab w:val="right" w:leader="dot" w:pos="9628"/>
            </w:tabs>
            <w:rPr>
              <w:noProof/>
              <w:color w:val="000000" w:themeColor="text1"/>
            </w:rPr>
          </w:pPr>
          <w:hyperlink w:anchor="_Toc224610017" w:history="1">
            <w:r>
              <w:rPr>
                <w:rStyle w:val="Hyperlink"/>
                <w:noProof/>
                <w:color w:val="000000" w:themeColor="text1"/>
              </w:rPr>
              <w:t>6.3 Limitations and Uncertainties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_Toc224610017 \h </w:instrText>
            </w:r>
            <w:r>
              <w:rPr>
                <w:noProof/>
                <w:webHidden/>
                <w:color w:val="000000" w:themeColor="text1"/>
              </w:rPr>
            </w:r>
            <w:r>
              <w:rPr>
                <w:noProof/>
                <w:webHidden/>
                <w:color w:val="000000" w:themeColor="text1"/>
              </w:rPr>
              <w:fldChar w:fldCharType="separate"/>
            </w:r>
            <w:r>
              <w:rPr>
                <w:noProof/>
                <w:webHidden/>
                <w:color w:val="000000" w:themeColor="text1"/>
              </w:rPr>
              <w:t>25</w:t>
            </w:r>
            <w:r>
              <w:rPr>
                <w:noProof/>
                <w:webHidden/>
                <w:color w:val="000000" w:themeColor="text1"/>
              </w:rPr>
              <w:fldChar w:fldCharType="end"/>
            </w:r>
          </w:hyperlink>
        </w:p>
        <w:p w14:paraId="1EEC5409" w14:textId="7D7A220A" w:rsidR="0021250A" w:rsidRPr="0021250A" w:rsidRDefault="0021250A">
          <w:pPr>
            <w:pStyle w:val="TOC1"/>
            <w:tabs>
              <w:tab w:val="right" w:leader="dot" w:pos="9628"/>
            </w:tabs>
            <w:rPr>
              <w:noProof/>
              <w:color w:val="000000" w:themeColor="text1"/>
            </w:rPr>
          </w:pPr>
          <w:hyperlink w:anchor="_Toc224610018" w:history="1">
            <w:r>
              <w:rPr>
                <w:rStyle w:val="Hyperlink"/>
                <w:noProof/>
                <w:color w:val="000000" w:themeColor="text1"/>
              </w:rPr>
              <w:t>7. Conclusions and Recommendations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_Toc224610018 \h </w:instrText>
            </w:r>
            <w:r>
              <w:rPr>
                <w:noProof/>
                <w:webHidden/>
                <w:color w:val="000000" w:themeColor="text1"/>
              </w:rPr>
            </w:r>
            <w:r>
              <w:rPr>
                <w:noProof/>
                <w:webHidden/>
                <w:color w:val="000000" w:themeColor="text1"/>
              </w:rPr>
              <w:fldChar w:fldCharType="separate"/>
            </w:r>
            <w:r>
              <w:rPr>
                <w:noProof/>
                <w:webHidden/>
                <w:color w:val="000000" w:themeColor="text1"/>
              </w:rPr>
              <w:t>26</w:t>
            </w:r>
            <w:r>
              <w:rPr>
                <w:noProof/>
                <w:webHidden/>
                <w:color w:val="000000" w:themeColor="text1"/>
              </w:rPr>
              <w:fldChar w:fldCharType="end"/>
            </w:r>
          </w:hyperlink>
        </w:p>
        <w:p w14:paraId="6B609144" w14:textId="24217A4D" w:rsidR="0021250A" w:rsidRPr="0021250A" w:rsidRDefault="0021250A">
          <w:pPr>
            <w:pStyle w:val="TOC1"/>
            <w:tabs>
              <w:tab w:val="right" w:leader="dot" w:pos="9628"/>
            </w:tabs>
            <w:rPr>
              <w:noProof/>
              <w:color w:val="000000" w:themeColor="text1"/>
            </w:rPr>
          </w:pPr>
          <w:hyperlink w:anchor="_Toc224610019" w:history="1">
            <w:r>
              <w:rPr>
                <w:rStyle w:val="Hyperlink"/>
                <w:noProof/>
                <w:color w:val="000000" w:themeColor="text1"/>
              </w:rPr>
              <w:t>References</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_Toc224610019 \h </w:instrText>
            </w:r>
            <w:r>
              <w:rPr>
                <w:noProof/>
                <w:webHidden/>
                <w:color w:val="000000" w:themeColor="text1"/>
              </w:rPr>
            </w:r>
            <w:r>
              <w:rPr>
                <w:noProof/>
                <w:webHidden/>
                <w:color w:val="000000" w:themeColor="text1"/>
              </w:rPr>
              <w:fldChar w:fldCharType="separate"/>
            </w:r>
            <w:r>
              <w:rPr>
                <w:noProof/>
                <w:webHidden/>
                <w:color w:val="000000" w:themeColor="text1"/>
              </w:rPr>
              <w:t>27</w:t>
            </w:r>
            <w:r>
              <w:rPr>
                <w:noProof/>
                <w:webHidden/>
                <w:color w:val="000000" w:themeColor="text1"/>
              </w:rPr>
              <w:fldChar w:fldCharType="end"/>
            </w:r>
          </w:hyperlink>
        </w:p>
        <w:p w14:paraId="72B1E027" w14:textId="2B34B3D5" w:rsidR="0021250A" w:rsidRPr="0021250A" w:rsidRDefault="0021250A">
          <w:pPr>
            <w:pStyle w:val="TOC1"/>
            <w:tabs>
              <w:tab w:val="right" w:leader="dot" w:pos="9628"/>
            </w:tabs>
            <w:rPr>
              <w:noProof/>
              <w:color w:val="000000" w:themeColor="text1"/>
            </w:rPr>
          </w:pPr>
          <w:hyperlink w:anchor="_Toc224610020" w:history="1">
            <w:r>
              <w:rPr>
                <w:rStyle w:val="Hyperlink"/>
                <w:noProof/>
                <w:color w:val="000000" w:themeColor="text1"/>
              </w:rPr>
              <w:t>Appendix A. Model File Structure</w:t>
            </w:r>
            <w:r>
              <w:rPr>
                <w:noProof/>
                <w:webHidden/>
                <w:color w:val="000000" w:themeColor="text1"/>
              </w:rPr>
              <w:tab/>
            </w:r>
            <w:r>
              <w:rPr>
                <w:noProof/>
                <w:webHidden/>
                <w:color w:val="000000" w:themeColor="text1"/>
              </w:rPr>
              <w:fldChar w:fldCharType="begin"/>
            </w:r>
            <w:r>
              <w:rPr>
                <w:noProof/>
                <w:webHidden/>
                <w:color w:val="000000" w:themeColor="text1"/>
              </w:rPr>
              <w:instrText xml:space="preserve"> PAGEREF _Toc224610020 \h </w:instrText>
            </w:r>
            <w:r>
              <w:rPr>
                <w:noProof/>
                <w:webHidden/>
                <w:color w:val="000000" w:themeColor="text1"/>
              </w:rPr>
            </w:r>
            <w:r>
              <w:rPr>
                <w:noProof/>
                <w:webHidden/>
                <w:color w:val="000000" w:themeColor="text1"/>
              </w:rPr>
              <w:fldChar w:fldCharType="separate"/>
            </w:r>
            <w:r>
              <w:rPr>
                <w:noProof/>
                <w:webHidden/>
                <w:color w:val="000000" w:themeColor="text1"/>
              </w:rPr>
              <w:t>28</w:t>
            </w:r>
            <w:r>
              <w:rPr>
                <w:noProof/>
                <w:webHidden/>
                <w:color w:val="000000" w:themeColor="text1"/>
              </w:rPr>
              <w:fldChar w:fldCharType="end"/>
            </w:r>
          </w:hyperlink>
        </w:p>
        <w:p w14:paraId="13DD4E74" w14:textId="7730B05C" w:rsidR="0021250A" w:rsidRPr="0021250A" w:rsidRDefault="0021250A">
          <w:pPr>
            <w:rPr>
              <w:color w:val="000000" w:themeColor="text1"/>
            </w:rPr>
          </w:pPr>
          <w:r>
            <w:rPr>
              <w:b/>
              <w:bCs/>
              <w:noProof/>
              <w:color w:val="000000" w:themeColor="text1"/>
            </w:rPr>
            <w:fldChar w:fldCharType="end"/>
          </w:r>
        </w:p>
      </w:sdtContent>
    </w:sdt>
    <w:p w14:paraId="2053137A" w14:textId="77777777" w:rsidR="0021250A" w:rsidRPr="0021250A" w:rsidRDefault="0021250A">
      <w:pPr>
        <w:rPr>
          <w:color w:val="000000" w:themeColor="text1"/>
        </w:rPr>
      </w:pPr>
    </w:p>
    <w:p w14:paraId="73E68725" w14:textId="77777777" w:rsidR="0021250A" w:rsidRPr="0021250A" w:rsidRDefault="0021250A">
      <w:pPr>
        <w:rPr>
          <w:color w:val="000000" w:themeColor="text1"/>
        </w:rPr>
      </w:pPr>
    </w:p>
    <w:p w14:paraId="6B9897EE" w14:textId="77777777" w:rsidR="0021250A" w:rsidRPr="0021250A" w:rsidRDefault="0021250A">
      <w:pPr>
        <w:rPr>
          <w:color w:val="000000" w:themeColor="text1"/>
        </w:rPr>
      </w:pPr>
    </w:p>
    <w:p w14:paraId="7DDB7936" w14:textId="77777777" w:rsidR="0021250A" w:rsidRPr="0021250A" w:rsidRDefault="0021250A">
      <w:pPr>
        <w:rPr>
          <w:color w:val="000000" w:themeColor="text1"/>
        </w:rPr>
      </w:pPr>
    </w:p>
    <w:p w14:paraId="340084CC" w14:textId="77777777" w:rsidR="0021250A" w:rsidRPr="0021250A" w:rsidRDefault="0021250A">
      <w:pPr>
        <w:rPr>
          <w:color w:val="000000" w:themeColor="text1"/>
        </w:rPr>
      </w:pPr>
    </w:p>
    <w:p w14:paraId="1DD45D87" w14:textId="77777777" w:rsidR="0021250A" w:rsidRPr="0021250A" w:rsidRDefault="0021250A">
      <w:pPr>
        <w:rPr>
          <w:color w:val="000000" w:themeColor="text1"/>
        </w:rPr>
      </w:pPr>
    </w:p>
    <w:p w14:paraId="7FDEC174" w14:textId="77777777" w:rsidR="0021250A" w:rsidRPr="0021250A" w:rsidRDefault="0021250A">
      <w:pPr>
        <w:rPr>
          <w:color w:val="000000" w:themeColor="text1"/>
        </w:rPr>
        <w:sectPr w:rsidR="0021250A" w:rsidRPr="0021250A">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708" w:footer="708" w:gutter="0"/>
          <w:cols w:space="720"/>
          <w:docGrid w:linePitch="360"/>
        </w:sectPr>
      </w:pPr>
    </w:p>
    <w:p w14:paraId="59BEE6BB" w14:textId="77777777" w:rsidR="0021250A" w:rsidRPr="0021250A" w:rsidRDefault="0021250A">
      <w:pPr>
        <w:rPr>
          <w:color w:val="000000" w:themeColor="text1"/>
        </w:rPr>
      </w:pPr>
    </w:p>
    <w:p w14:paraId="0A2D1DD9" w14:textId="77777777" w:rsidR="0021250A" w:rsidRPr="0021250A" w:rsidRDefault="0021250A">
      <w:pPr>
        <w:rPr>
          <w:color w:val="000000" w:themeColor="text1"/>
        </w:rPr>
      </w:pPr>
    </w:p>
    <w:p w14:paraId="623EED4A" w14:textId="77777777" w:rsidR="00D828C9" w:rsidRPr="0021250A" w:rsidRDefault="00FF3273">
      <w:pPr>
        <w:pStyle w:val="Heading1"/>
        <w:rPr>
          <w:color w:val="000000" w:themeColor="text1"/>
        </w:rPr>
      </w:pPr>
      <w:bookmarkStart w:id="2" w:name="_Toc224609976"/>
      <w:r>
        <w:rPr>
          <w:color w:val="000000" w:themeColor="text1"/>
        </w:rPr>
        <w:t>Abstract</w:t>
      </w:r>
      <w:bookmarkEnd w:id="2"/>
    </w:p>
    <w:p w14:paraId="232210C4" w14:textId="410FB6F8" w:rsidR="00D828C9" w:rsidRPr="0021250A" w:rsidRDefault="00FF3273">
      <w:pPr>
        <w:spacing w:before="80" w:after="80"/>
        <w:jc w:val="both"/>
        <w:rPr>
          <w:color w:val="000000" w:themeColor="text1"/>
        </w:rPr>
      </w:pPr>
      <w:r>
        <w:rPr>
          <w:color w:val="000000" w:themeColor="text1"/>
        </w:rPr>
        <w:t xml:space="preserve">This report presents the development and application of the </w:t>
      </w:r>
      <w:proofErr w:type="spellStart"/>
      <w:r>
        <w:rPr>
          <w:color w:val="000000" w:themeColor="text1"/>
        </w:rPr>
        <w:t>OnStove</w:t>
      </w:r>
      <w:proofErr w:type="spellEnd"/>
      <w:r>
        <w:rPr>
          <w:color w:val="000000" w:themeColor="text1"/>
        </w:rPr>
        <w:t xml:space="preserve"> geospatial modelling framework for Lao PDR, aimed at informing evidence-based policy and investment decisions in the clean cooking sector. Laos currently relies heavily on solid biomass for household cooking, with tripod cook stoves, using firewood dominating at 51.9% national share, posing significant health, environmental, and economic costs. Using household-level geospatial data, technology specifications, and socioeconomic parameters, the </w:t>
      </w:r>
      <w:proofErr w:type="spellStart"/>
      <w:r>
        <w:rPr>
          <w:color w:val="000000" w:themeColor="text1"/>
        </w:rPr>
        <w:t>OnStove</w:t>
      </w:r>
      <w:proofErr w:type="spellEnd"/>
      <w:r>
        <w:rPr>
          <w:color w:val="000000" w:themeColor="text1"/>
        </w:rPr>
        <w:t xml:space="preserve"> model was calibrated for Lao conditions and used </w:t>
      </w:r>
      <w:r>
        <w:rPr>
          <w:color w:val="000000" w:themeColor="text1"/>
        </w:rPr>
        <w:t>to simulate a clean cooking transition scenario from 2025 to 2030.</w:t>
      </w:r>
    </w:p>
    <w:p w14:paraId="689DA5D9" w14:textId="10F24B75" w:rsidR="00D828C9" w:rsidRPr="0021250A" w:rsidRDefault="00FF3273">
      <w:pPr>
        <w:spacing w:before="80" w:after="80"/>
        <w:jc w:val="both"/>
        <w:rPr>
          <w:color w:val="000000" w:themeColor="text1"/>
        </w:rPr>
      </w:pPr>
      <w:r>
        <w:rPr>
          <w:color w:val="000000" w:themeColor="text1"/>
        </w:rPr>
        <w:t>The baseline analysis, presenting the current situation, reveals a stark urban–rural divide: while urban households show higher uptake of improved cookstoves (ICS) and electricity-based cooking, rural communities remain predominantly dependent on traditional solid-fuel technologies. The scenario results demonstrate that a structured intervention programmed, targeting progressive replacement of traditional stoves with improved cookstoves (ICS WS-3 and ICS PPT-3) and electric cooking technologies, can deliver</w:t>
      </w:r>
      <w:r>
        <w:rPr>
          <w:color w:val="000000" w:themeColor="text1"/>
        </w:rPr>
        <w:t xml:space="preserve"> substantial co-benefits. By 2030, the modelled scenario projects a cumulative investment of USD 6.71 million, a reduction in annual energy consumption from ~12,000 TJ to ~9000 TJ, CO₂ emission reductions reaching ~133.17 million tons, and net economic gains of ~USD 1.3 billion, primarily driven by avoided health costs and time savings from reduced fuel collection.</w:t>
      </w:r>
    </w:p>
    <w:p w14:paraId="5BB9A24A" w14:textId="77777777" w:rsidR="00D828C9" w:rsidRPr="0021250A" w:rsidRDefault="00FF3273">
      <w:pPr>
        <w:spacing w:before="80" w:after="80"/>
        <w:jc w:val="both"/>
        <w:rPr>
          <w:color w:val="000000" w:themeColor="text1"/>
        </w:rPr>
      </w:pPr>
      <w:r>
        <w:rPr>
          <w:color w:val="000000" w:themeColor="text1"/>
        </w:rPr>
        <w:t>These findings underscore the economic viability and development impact of scaling clean cooking in Laos, providing a quantitative foundation for national policy, development partner engagement, and carbon finance mechanisms.</w:t>
      </w:r>
    </w:p>
    <w:p w14:paraId="7B93CC5F" w14:textId="77777777" w:rsidR="00D828C9" w:rsidRPr="0021250A" w:rsidRDefault="00D828C9">
      <w:pPr>
        <w:spacing w:before="40" w:after="40"/>
        <w:rPr>
          <w:color w:val="000000" w:themeColor="text1"/>
        </w:rPr>
      </w:pPr>
    </w:p>
    <w:p w14:paraId="70144109" w14:textId="77777777" w:rsidR="00D828C9" w:rsidRPr="0021250A" w:rsidRDefault="00FF3273">
      <w:pPr>
        <w:spacing w:before="80" w:after="80"/>
        <w:rPr>
          <w:color w:val="000000" w:themeColor="text1"/>
        </w:rPr>
      </w:pPr>
      <w:r>
        <w:rPr>
          <w:b/>
          <w:bCs/>
          <w:color w:val="000000" w:themeColor="text1"/>
        </w:rPr>
        <w:t xml:space="preserve">Keywords: </w:t>
      </w:r>
      <w:proofErr w:type="spellStart"/>
      <w:r>
        <w:rPr>
          <w:i/>
          <w:iCs/>
          <w:color w:val="000000" w:themeColor="text1"/>
        </w:rPr>
        <w:t>OnStove</w:t>
      </w:r>
      <w:proofErr w:type="spellEnd"/>
      <w:r>
        <w:rPr>
          <w:i/>
          <w:iCs/>
          <w:color w:val="000000" w:themeColor="text1"/>
        </w:rPr>
        <w:t>, clean cooking, Lao PDR, geospatial modelling, household energy, biomass, improved cookstoves, health impacts, CO₂ reduction</w:t>
      </w:r>
    </w:p>
    <w:p w14:paraId="540FDF18" w14:textId="77777777" w:rsidR="00D828C9" w:rsidRPr="0021250A" w:rsidRDefault="00FF3273">
      <w:pPr>
        <w:rPr>
          <w:color w:val="000000" w:themeColor="text1"/>
        </w:rPr>
      </w:pPr>
      <w:r>
        <w:rPr>
          <w:color w:val="000000" w:themeColor="text1"/>
        </w:rPr>
        <w:br w:type="page"/>
      </w:r>
    </w:p>
    <w:p w14:paraId="7FEE7A0D" w14:textId="77777777" w:rsidR="00D828C9" w:rsidRPr="0021250A" w:rsidRDefault="00FF3273">
      <w:pPr>
        <w:pStyle w:val="Heading1"/>
        <w:rPr>
          <w:color w:val="000000" w:themeColor="text1"/>
        </w:rPr>
      </w:pPr>
      <w:bookmarkStart w:id="3" w:name="_Toc224609977"/>
      <w:r>
        <w:rPr>
          <w:color w:val="000000" w:themeColor="text1"/>
        </w:rPr>
        <w:lastRenderedPageBreak/>
        <w:t>1. Introduction</w:t>
      </w:r>
      <w:bookmarkEnd w:id="3"/>
    </w:p>
    <w:p w14:paraId="7ACD38DC" w14:textId="77777777" w:rsidR="00D828C9" w:rsidRPr="0021250A" w:rsidRDefault="00FF3273">
      <w:pPr>
        <w:spacing w:before="80" w:after="80"/>
        <w:jc w:val="both"/>
        <w:rPr>
          <w:color w:val="000000" w:themeColor="text1"/>
        </w:rPr>
      </w:pPr>
      <w:r>
        <w:rPr>
          <w:color w:val="000000" w:themeColor="text1"/>
        </w:rPr>
        <w:t xml:space="preserve">Access to clean cooking remains one of the most pressing yet underappreciated energy challenges in Southeast Asia. In Lao PDR, </w:t>
      </w:r>
      <w:proofErr w:type="gramStart"/>
      <w:r>
        <w:rPr>
          <w:color w:val="000000" w:themeColor="text1"/>
        </w:rPr>
        <w:t>the vast majority of</w:t>
      </w:r>
      <w:proofErr w:type="gramEnd"/>
      <w:r>
        <w:rPr>
          <w:color w:val="000000" w:themeColor="text1"/>
        </w:rPr>
        <w:t xml:space="preserve"> rural households rely on traditional solid biomass — firewood and charcoal — for daily cooking and heating, primarily using open fires and rudimentary stoves such as the tripod stove. This dependence on unprocessed biomass is deeply rooted in cultural practice, limited market access, and the near-zero direct cost of collecting fuelwood in forested regions.</w:t>
      </w:r>
    </w:p>
    <w:p w14:paraId="0072CB61" w14:textId="77777777" w:rsidR="00D828C9" w:rsidRPr="0021250A" w:rsidRDefault="00FF3273">
      <w:pPr>
        <w:spacing w:before="80" w:after="80"/>
        <w:jc w:val="both"/>
        <w:rPr>
          <w:color w:val="000000" w:themeColor="text1"/>
        </w:rPr>
      </w:pPr>
      <w:r>
        <w:rPr>
          <w:color w:val="000000" w:themeColor="text1"/>
        </w:rPr>
        <w:t>The consequences, however, are far-reaching. Household air pollution (HAP) from solid fuel combustion is one of the leading environmental health risks globally, responsible for approximately 3.2 million deaths per year (WHO, 2023). In Laos, women and children bear a disproportionate burden of this exposure, as they spend the most time near cooking fires. Beyond health, biomass dependence contributes to deforestation, greenhouse gas emissions (primarily black carbon and CO₂), and significant time poverty — p</w:t>
      </w:r>
      <w:r>
        <w:rPr>
          <w:color w:val="000000" w:themeColor="text1"/>
        </w:rPr>
        <w:t>articularly for women who collect fuelwood (IEA, 2023).</w:t>
      </w:r>
    </w:p>
    <w:p w14:paraId="0E7C8714" w14:textId="470017E1" w:rsidR="00D828C9" w:rsidRPr="0021250A" w:rsidRDefault="00FF3273">
      <w:pPr>
        <w:spacing w:before="80" w:after="80"/>
        <w:jc w:val="both"/>
        <w:rPr>
          <w:color w:val="000000" w:themeColor="text1"/>
        </w:rPr>
      </w:pPr>
      <w:r>
        <w:rPr>
          <w:color w:val="000000" w:themeColor="text1"/>
        </w:rPr>
        <w:t xml:space="preserve">Despite these challenges, Laos has made policy commitments toward a clean energy transition. The National Socio-Economic Development Plan (NSEDP) and the country’s Nationally Determined Contributions (NDC) under the Paris Agreement identify household energy as a priority area. The 9th NSEDP (2021–2025) explicitly targets improved energy access and reduced biomass dependence as components of green growth (Government of Lao PDR, 2021). Lao </w:t>
      </w:r>
      <w:proofErr w:type="gramStart"/>
      <w:r>
        <w:rPr>
          <w:color w:val="000000" w:themeColor="text1"/>
        </w:rPr>
        <w:t>PDR’s</w:t>
      </w:r>
      <w:proofErr w:type="gramEnd"/>
      <w:r>
        <w:rPr>
          <w:color w:val="000000" w:themeColor="text1"/>
        </w:rPr>
        <w:t xml:space="preserve"> updated NDC (2021) sets a target of distributing 100,000 electric cookstoves by 2030 and commits to reducing emissions from the energy sector through fuel switching in households (Government of Lao PDR / UNFCCC, 2021). However, translating these policy intentions into targeted interventions requires a robust analytical foundation — spatial data, technology cost curves, and quantified co-benefit assessment.</w:t>
      </w:r>
    </w:p>
    <w:p w14:paraId="4E18A3EB" w14:textId="77777777" w:rsidR="00D828C9" w:rsidRPr="0021250A" w:rsidRDefault="00FF3273">
      <w:pPr>
        <w:spacing w:before="80" w:after="80"/>
        <w:jc w:val="both"/>
        <w:rPr>
          <w:color w:val="000000" w:themeColor="text1"/>
        </w:rPr>
      </w:pPr>
      <w:r>
        <w:rPr>
          <w:color w:val="000000" w:themeColor="text1"/>
        </w:rPr>
        <w:t xml:space="preserve">The </w:t>
      </w:r>
      <w:proofErr w:type="spellStart"/>
      <w:r>
        <w:rPr>
          <w:color w:val="000000" w:themeColor="text1"/>
        </w:rPr>
        <w:t>OnStove</w:t>
      </w:r>
      <w:proofErr w:type="spellEnd"/>
      <w:r>
        <w:rPr>
          <w:color w:val="000000" w:themeColor="text1"/>
        </w:rPr>
        <w:t xml:space="preserve"> framework (</w:t>
      </w:r>
      <w:proofErr w:type="spellStart"/>
      <w:r>
        <w:rPr>
          <w:color w:val="000000" w:themeColor="text1"/>
        </w:rPr>
        <w:t>Korkovelos</w:t>
      </w:r>
      <w:proofErr w:type="spellEnd"/>
      <w:r>
        <w:rPr>
          <w:color w:val="000000" w:themeColor="text1"/>
        </w:rPr>
        <w:t xml:space="preserve"> et al., 2022) was developed to address this need. </w:t>
      </w:r>
      <w:proofErr w:type="spellStart"/>
      <w:r>
        <w:rPr>
          <w:color w:val="000000" w:themeColor="text1"/>
        </w:rPr>
        <w:t>OnStove</w:t>
      </w:r>
      <w:proofErr w:type="spellEnd"/>
      <w:r>
        <w:rPr>
          <w:color w:val="000000" w:themeColor="text1"/>
        </w:rPr>
        <w:t xml:space="preserve"> is an open-source geospatial modelling tool that simulates the net-benefit of transitioning households from traditional to cleaner cooking technologies. It integrates spatial population data, energy costs, technology efficiencies, health impact parameters, and time-saving estimates to identify optimal technology transitions at the household level across a country's geography. The model has been applied in multiple sub-Sa</w:t>
      </w:r>
      <w:r>
        <w:rPr>
          <w:color w:val="000000" w:themeColor="text1"/>
        </w:rPr>
        <w:t>haran African countries (Khavari et al., 2024) and offers a replicable methodology for Southeast Asian contexts.</w:t>
      </w:r>
    </w:p>
    <w:p w14:paraId="3C13990D" w14:textId="3A459308" w:rsidR="00D828C9" w:rsidRPr="0021250A" w:rsidRDefault="00FF3273">
      <w:pPr>
        <w:spacing w:before="80" w:after="80"/>
        <w:jc w:val="both"/>
        <w:rPr>
          <w:color w:val="000000" w:themeColor="text1"/>
        </w:rPr>
      </w:pPr>
      <w:r>
        <w:rPr>
          <w:color w:val="000000" w:themeColor="text1"/>
        </w:rPr>
        <w:t xml:space="preserve">This study presents the first application of the </w:t>
      </w:r>
      <w:proofErr w:type="spellStart"/>
      <w:r>
        <w:rPr>
          <w:color w:val="000000" w:themeColor="text1"/>
        </w:rPr>
        <w:t>OnStove</w:t>
      </w:r>
      <w:proofErr w:type="spellEnd"/>
      <w:r>
        <w:rPr>
          <w:color w:val="000000" w:themeColor="text1"/>
        </w:rPr>
        <w:t xml:space="preserve"> framework to Lao PDR. The primary objectives are: (1) to develop a calibrated baseline model representing the current distribution of cooking technologies across Lao households; (2) to run a forward-looking scenario exploring a clean cooking transition from 2025 to 2030; and (3) to quantify the investment needs, energy, health, and environmental co-benefits of this transition.</w:t>
      </w:r>
    </w:p>
    <w:p w14:paraId="68E1087D" w14:textId="77777777" w:rsidR="00D828C9" w:rsidRPr="0021250A" w:rsidRDefault="00FF3273">
      <w:pPr>
        <w:spacing w:before="80" w:after="80"/>
        <w:jc w:val="both"/>
        <w:rPr>
          <w:color w:val="000000" w:themeColor="text1"/>
        </w:rPr>
      </w:pPr>
      <w:r>
        <w:rPr>
          <w:color w:val="000000" w:themeColor="text1"/>
        </w:rPr>
        <w:t xml:space="preserve">The report is structured as follows: Section 2 describes the cooking technology landscape and model </w:t>
      </w:r>
      <w:proofErr w:type="spellStart"/>
      <w:r>
        <w:rPr>
          <w:color w:val="000000" w:themeColor="text1"/>
        </w:rPr>
        <w:t>parameterisation</w:t>
      </w:r>
      <w:proofErr w:type="spellEnd"/>
      <w:r>
        <w:rPr>
          <w:color w:val="000000" w:themeColor="text1"/>
        </w:rPr>
        <w:t>; Section 3 presents the methodology and data; Section 4 presents the baseline results; Section 5 details the scenario analysis and results; Section 6 discusses policy implications; and Section 7 concludes with recommendations.</w:t>
      </w:r>
    </w:p>
    <w:p w14:paraId="1C0F82A6" w14:textId="77777777" w:rsidR="00D828C9" w:rsidRPr="0021250A" w:rsidRDefault="00FF3273">
      <w:pPr>
        <w:rPr>
          <w:color w:val="000000" w:themeColor="text1"/>
        </w:rPr>
      </w:pPr>
      <w:r>
        <w:rPr>
          <w:color w:val="000000" w:themeColor="text1"/>
        </w:rPr>
        <w:br w:type="page"/>
      </w:r>
    </w:p>
    <w:p w14:paraId="1A13C89D" w14:textId="77777777" w:rsidR="00D828C9" w:rsidRPr="0021250A" w:rsidRDefault="00FF3273">
      <w:pPr>
        <w:pStyle w:val="Heading1"/>
        <w:rPr>
          <w:color w:val="000000" w:themeColor="text1"/>
        </w:rPr>
      </w:pPr>
      <w:bookmarkStart w:id="4" w:name="_Toc224609978"/>
      <w:r>
        <w:rPr>
          <w:color w:val="000000" w:themeColor="text1"/>
        </w:rPr>
        <w:lastRenderedPageBreak/>
        <w:t xml:space="preserve">2. Cooking Technologies and Model </w:t>
      </w:r>
      <w:proofErr w:type="spellStart"/>
      <w:r>
        <w:rPr>
          <w:color w:val="000000" w:themeColor="text1"/>
        </w:rPr>
        <w:t>Parameterisation</w:t>
      </w:r>
      <w:bookmarkEnd w:id="4"/>
      <w:proofErr w:type="spellEnd"/>
    </w:p>
    <w:p w14:paraId="0403EC41" w14:textId="77777777" w:rsidR="00D828C9" w:rsidRPr="0021250A" w:rsidRDefault="00FF3273">
      <w:pPr>
        <w:pStyle w:val="Heading2"/>
        <w:rPr>
          <w:color w:val="000000" w:themeColor="text1"/>
        </w:rPr>
      </w:pPr>
      <w:bookmarkStart w:id="5" w:name="_Toc224609979"/>
      <w:r>
        <w:rPr>
          <w:color w:val="000000" w:themeColor="text1"/>
        </w:rPr>
        <w:t>2.1 Cooking Technology Landscape in Lao PDR</w:t>
      </w:r>
      <w:bookmarkEnd w:id="5"/>
    </w:p>
    <w:p w14:paraId="258B3C74" w14:textId="77777777" w:rsidR="00D828C9" w:rsidRPr="0021250A" w:rsidRDefault="00FF3273">
      <w:pPr>
        <w:spacing w:before="80" w:after="80"/>
        <w:jc w:val="both"/>
        <w:rPr>
          <w:color w:val="000000" w:themeColor="text1"/>
        </w:rPr>
      </w:pPr>
      <w:r>
        <w:rPr>
          <w:color w:val="000000" w:themeColor="text1"/>
        </w:rPr>
        <w:t xml:space="preserve">Lao PDR households rely on a diverse portfolio of cooking technologies, ranging from rudimentary open-fire stoves to modern electric appliances. These technologies vary substantially in their fuel requirements, thermal efficiency, pollutant emissions, cost, and practical availability across urban and rural settings. Understanding this landscape is essential to designing effective transition pathways and calibrating the </w:t>
      </w:r>
      <w:proofErr w:type="spellStart"/>
      <w:r>
        <w:rPr>
          <w:color w:val="000000" w:themeColor="text1"/>
        </w:rPr>
        <w:t>OnStove</w:t>
      </w:r>
      <w:proofErr w:type="spellEnd"/>
      <w:r>
        <w:rPr>
          <w:color w:val="000000" w:themeColor="text1"/>
        </w:rPr>
        <w:t xml:space="preserve"> model.</w:t>
      </w:r>
    </w:p>
    <w:p w14:paraId="75F0BA84" w14:textId="1A267758" w:rsidR="00D828C9" w:rsidRPr="0021250A" w:rsidRDefault="00FF3273">
      <w:pPr>
        <w:spacing w:before="80" w:after="80"/>
        <w:jc w:val="both"/>
        <w:rPr>
          <w:color w:val="000000" w:themeColor="text1"/>
        </w:rPr>
      </w:pPr>
      <w:r>
        <w:rPr>
          <w:color w:val="000000" w:themeColor="text1"/>
        </w:rPr>
        <w:t xml:space="preserve">Figure 1 illustrates the six primary stove types used in Lao PDR households, </w:t>
      </w:r>
      <w:proofErr w:type="spellStart"/>
      <w:r>
        <w:rPr>
          <w:color w:val="000000" w:themeColor="text1"/>
        </w:rPr>
        <w:t>organised</w:t>
      </w:r>
      <w:proofErr w:type="spellEnd"/>
      <w:r>
        <w:rPr>
          <w:color w:val="000000" w:themeColor="text1"/>
        </w:rPr>
        <w:t xml:space="preserve"> by fuel type and thermal efficiency. Figure 2 shows the national fuel mix, which forms the foundation for baseline model calibration.</w:t>
      </w:r>
    </w:p>
    <w:p w14:paraId="2F304E9E" w14:textId="77777777" w:rsidR="00D828C9" w:rsidRPr="0021250A" w:rsidRDefault="00D828C9">
      <w:pPr>
        <w:spacing w:before="40" w:after="40"/>
        <w:rPr>
          <w:color w:val="000000" w:themeColor="text1"/>
        </w:rPr>
      </w:pPr>
    </w:p>
    <w:p w14:paraId="6B44D631" w14:textId="750DC46C" w:rsidR="00D828C9" w:rsidRPr="0021250A" w:rsidRDefault="006A123B">
      <w:pPr>
        <w:spacing w:before="100" w:after="60"/>
        <w:jc w:val="center"/>
        <w:rPr>
          <w:color w:val="000000" w:themeColor="text1"/>
        </w:rPr>
      </w:pPr>
      <w:r>
        <w:rPr>
          <w:noProof/>
          <w:color w:val="000000" w:themeColor="text1"/>
        </w:rPr>
        <w:drawing>
          <wp:inline distT="0" distB="0" distL="0" distR="0" wp14:anchorId="2C356C21" wp14:editId="1F79313D">
            <wp:extent cx="4515205" cy="4374661"/>
            <wp:effectExtent l="0" t="0" r="0" b="6985"/>
            <wp:docPr id="864103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103814" name=""/>
                    <pic:cNvPicPr/>
                  </pic:nvPicPr>
                  <pic:blipFill>
                    <a:blip r:embed="rId14"/>
                    <a:stretch>
                      <a:fillRect/>
                    </a:stretch>
                  </pic:blipFill>
                  <pic:spPr>
                    <a:xfrm>
                      <a:off x="0" y="0"/>
                      <a:ext cx="4531873" cy="4390810"/>
                    </a:xfrm>
                    <a:prstGeom prst="rect">
                      <a:avLst/>
                    </a:prstGeom>
                  </pic:spPr>
                </pic:pic>
              </a:graphicData>
            </a:graphic>
          </wp:inline>
        </w:drawing>
      </w:r>
    </w:p>
    <w:p w14:paraId="4ADA0AFD" w14:textId="77777777" w:rsidR="00D828C9" w:rsidRPr="0021250A" w:rsidRDefault="00FF3273">
      <w:pPr>
        <w:spacing w:before="60" w:after="120"/>
        <w:jc w:val="center"/>
        <w:rPr>
          <w:color w:val="000000" w:themeColor="text1"/>
        </w:rPr>
      </w:pPr>
      <w:r>
        <w:rPr>
          <w:i/>
          <w:iCs/>
          <w:color w:val="000000" w:themeColor="text1"/>
          <w:sz w:val="20"/>
          <w:szCs w:val="20"/>
        </w:rPr>
        <w:t>Figure 1. Primary Cooking Stove Types Used in Lao PDR Households. Thermal efficiencies range from 10–12% (Tripod) to 25–35% (Improved Cookstoves). Sources: GERES/SNV Lao PDR ICS Program; GERES/CTC Cookstove Testing Results.</w:t>
      </w:r>
    </w:p>
    <w:p w14:paraId="29E4690C" w14:textId="77777777" w:rsidR="00D828C9" w:rsidRPr="0021250A" w:rsidRDefault="00D828C9">
      <w:pPr>
        <w:spacing w:before="40" w:after="40"/>
        <w:rPr>
          <w:color w:val="000000" w:themeColor="text1"/>
        </w:rPr>
      </w:pPr>
    </w:p>
    <w:p w14:paraId="3A9EC2BB" w14:textId="77777777" w:rsidR="00D828C9" w:rsidRPr="0021250A" w:rsidRDefault="00FF3273">
      <w:pPr>
        <w:pStyle w:val="Heading3"/>
        <w:rPr>
          <w:color w:val="000000" w:themeColor="text1"/>
        </w:rPr>
      </w:pPr>
      <w:bookmarkStart w:id="6" w:name="_Toc224609980"/>
      <w:r>
        <w:rPr>
          <w:color w:val="000000" w:themeColor="text1"/>
        </w:rPr>
        <w:t>2.1.1 Traditional Stoves</w:t>
      </w:r>
      <w:bookmarkEnd w:id="6"/>
    </w:p>
    <w:p w14:paraId="77A163CF" w14:textId="77777777" w:rsidR="00D828C9" w:rsidRPr="0021250A" w:rsidRDefault="00FF3273">
      <w:pPr>
        <w:spacing w:before="80" w:after="80"/>
        <w:jc w:val="both"/>
        <w:rPr>
          <w:color w:val="000000" w:themeColor="text1"/>
        </w:rPr>
      </w:pPr>
      <w:r>
        <w:rPr>
          <w:color w:val="000000" w:themeColor="text1"/>
        </w:rPr>
        <w:t xml:space="preserve">The Tripod stove is the most widely used cooking device in rural Laos, burning firewood at an efficiency of approximately 10–12%. </w:t>
      </w:r>
      <w:proofErr w:type="spellStart"/>
      <w:r>
        <w:rPr>
          <w:color w:val="000000" w:themeColor="text1"/>
        </w:rPr>
        <w:t>Its</w:t>
      </w:r>
      <w:proofErr w:type="spellEnd"/>
      <w:r>
        <w:rPr>
          <w:color w:val="000000" w:themeColor="text1"/>
        </w:rPr>
        <w:t xml:space="preserve"> extremely low capital cost (approximately USD 1) and the availability of free fuelwood from surrounding forests explain its persistence despite high PM2.5 emissions (656 µg/m³ emission factor). The </w:t>
      </w:r>
      <w:proofErr w:type="spellStart"/>
      <w:r>
        <w:rPr>
          <w:color w:val="000000" w:themeColor="text1"/>
        </w:rPr>
        <w:t>TaoCement</w:t>
      </w:r>
      <w:proofErr w:type="spellEnd"/>
      <w:r>
        <w:rPr>
          <w:color w:val="000000" w:themeColor="text1"/>
        </w:rPr>
        <w:t xml:space="preserve"> stove is a locally manufactured clay-and-cement construction with slightly improved efficiency (15–20%) and a wider grate that accommodates larger pieces of firewood. It is particularly prevalent in the central and southern lowlands. The </w:t>
      </w:r>
      <w:proofErr w:type="spellStart"/>
      <w:r>
        <w:rPr>
          <w:color w:val="000000" w:themeColor="text1"/>
        </w:rPr>
        <w:t>TaoDam</w:t>
      </w:r>
      <w:proofErr w:type="spellEnd"/>
      <w:r>
        <w:rPr>
          <w:color w:val="000000" w:themeColor="text1"/>
        </w:rPr>
        <w:t>, a fired-clay design also known as the "black stove," o</w:t>
      </w:r>
      <w:r>
        <w:rPr>
          <w:color w:val="000000" w:themeColor="text1"/>
        </w:rPr>
        <w:t xml:space="preserve">perates on both firewood and charcoal at 15–20% efficiency. The </w:t>
      </w:r>
      <w:proofErr w:type="spellStart"/>
      <w:r>
        <w:rPr>
          <w:color w:val="000000" w:themeColor="text1"/>
        </w:rPr>
        <w:t>TaoPayat</w:t>
      </w:r>
      <w:proofErr w:type="spellEnd"/>
      <w:r>
        <w:rPr>
          <w:color w:val="000000" w:themeColor="text1"/>
        </w:rPr>
        <w:t xml:space="preserve"> is a charcoal-burning bucket stove (15–20% efficiency) more common in peri-urban areas where charcoal markets are accessible.</w:t>
      </w:r>
    </w:p>
    <w:p w14:paraId="057F0147" w14:textId="77777777" w:rsidR="00D828C9" w:rsidRPr="0021250A" w:rsidRDefault="00FF3273">
      <w:pPr>
        <w:pStyle w:val="Heading3"/>
        <w:rPr>
          <w:color w:val="000000" w:themeColor="text1"/>
        </w:rPr>
      </w:pPr>
      <w:bookmarkStart w:id="7" w:name="_Toc224609981"/>
      <w:r>
        <w:rPr>
          <w:color w:val="000000" w:themeColor="text1"/>
        </w:rPr>
        <w:lastRenderedPageBreak/>
        <w:t>2.1.2 Improved Cookstoves (ICS)</w:t>
      </w:r>
      <w:bookmarkEnd w:id="7"/>
    </w:p>
    <w:p w14:paraId="7460A4AE" w14:textId="5C16C010" w:rsidR="00D828C9" w:rsidRPr="0021250A" w:rsidRDefault="00FF3273">
      <w:pPr>
        <w:spacing w:before="80" w:after="80"/>
        <w:jc w:val="both"/>
        <w:rPr>
          <w:color w:val="000000" w:themeColor="text1"/>
        </w:rPr>
      </w:pPr>
      <w:r>
        <w:rPr>
          <w:color w:val="000000" w:themeColor="text1"/>
        </w:rPr>
        <w:t>Two ICS models are included in the analysis. The ICS WS-3 (</w:t>
      </w:r>
      <w:proofErr w:type="gramStart"/>
      <w:r>
        <w:rPr>
          <w:color w:val="000000" w:themeColor="text1"/>
        </w:rPr>
        <w:t>Wood-burning</w:t>
      </w:r>
      <w:proofErr w:type="gramEnd"/>
      <w:r>
        <w:rPr>
          <w:color w:val="000000" w:themeColor="text1"/>
        </w:rPr>
        <w:t>, Tier 3) achieves 25–35% thermal efficiency through improved combustion chamber geometry and insulation, reducing both fuel consumption and PM2.5 exposure. It uses freely collected firewood, making it viable in rural areas with low fuel costs. Investment cost is approximately USD 22.50, with an operational lifespan of 2 years. The ICS PPT-3 (Processed-fuel, Tier 3) is designed for charcoal or pellet fuels, achieving efficiency equivalent to the WS-3 (25–35%) but with somewhat lower PM2.5 emissi</w:t>
      </w:r>
      <w:r>
        <w:rPr>
          <w:color w:val="000000" w:themeColor="text1"/>
        </w:rPr>
        <w:t>ons (308 µg/m³ vs 361 µg/m³ for WS-3) due to more homogeneous fuel characteristics. Its investment cost is higher at USD 47, reflecting the more complex combustion chamber.</w:t>
      </w:r>
    </w:p>
    <w:p w14:paraId="3A9AA7A4" w14:textId="77777777" w:rsidR="00D828C9" w:rsidRPr="0021250A" w:rsidRDefault="00FF3273">
      <w:pPr>
        <w:pStyle w:val="Heading3"/>
        <w:rPr>
          <w:color w:val="000000" w:themeColor="text1"/>
        </w:rPr>
      </w:pPr>
      <w:bookmarkStart w:id="8" w:name="_Toc224609982"/>
      <w:r>
        <w:rPr>
          <w:color w:val="000000" w:themeColor="text1"/>
        </w:rPr>
        <w:t>2.1.3 Modern Energy Technologies</w:t>
      </w:r>
      <w:bookmarkEnd w:id="8"/>
    </w:p>
    <w:p w14:paraId="5A1DFEF1" w14:textId="6FD30857" w:rsidR="00D828C9" w:rsidRPr="0021250A" w:rsidRDefault="00FF3273">
      <w:pPr>
        <w:spacing w:before="80" w:after="80"/>
        <w:jc w:val="both"/>
        <w:rPr>
          <w:color w:val="000000" w:themeColor="text1"/>
        </w:rPr>
      </w:pPr>
      <w:r>
        <w:rPr>
          <w:color w:val="000000" w:themeColor="text1"/>
        </w:rPr>
        <w:t xml:space="preserve">LPG stoves achieve 60% thermal efficiency with near-negligible PM2.5 emissions (1.8 g/GJ) and zero time spent on fuel collection. However, the retail price of USD 1.65/kg (Ministry of Industry and Commerce, 2024) and the need for cylinder infrastructure make LPG economically inaccessible to most rural households. Additionally, </w:t>
      </w:r>
      <w:proofErr w:type="gramStart"/>
      <w:r>
        <w:rPr>
          <w:color w:val="000000" w:themeColor="text1"/>
        </w:rPr>
        <w:t>all of</w:t>
      </w:r>
      <w:proofErr w:type="gramEnd"/>
      <w:r>
        <w:rPr>
          <w:color w:val="000000" w:themeColor="text1"/>
        </w:rPr>
        <w:t xml:space="preserve"> the LPG in the country is imported. Electric cooking (induction or infrared hotplates) achieves 85% efficiency with zero point-of-use emissions. The electricity retail tariff of USD 0.065/kWh (</w:t>
      </w:r>
      <w:proofErr w:type="spellStart"/>
      <w:r>
        <w:rPr>
          <w:color w:val="000000" w:themeColor="text1"/>
        </w:rPr>
        <w:t>Electricité</w:t>
      </w:r>
      <w:proofErr w:type="spellEnd"/>
      <w:r>
        <w:rPr>
          <w:color w:val="000000" w:themeColor="text1"/>
        </w:rPr>
        <w:t xml:space="preserve"> du Laos, 2024) makes electric cooking cost-competitive where grid access is reliable. Investment cost for electric hotplates is approximately USD 35–55.</w:t>
      </w:r>
    </w:p>
    <w:p w14:paraId="4BCA3E83" w14:textId="77777777" w:rsidR="00D828C9" w:rsidRPr="0021250A" w:rsidRDefault="00D828C9">
      <w:pPr>
        <w:spacing w:before="40" w:after="40"/>
        <w:rPr>
          <w:color w:val="000000" w:themeColor="text1"/>
        </w:rPr>
      </w:pPr>
    </w:p>
    <w:p w14:paraId="28CD1510"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543F2E71" wp14:editId="16E578D3">
            <wp:extent cx="4143375" cy="2305050"/>
            <wp:effectExtent l="0" t="0" r="0" b="0"/>
            <wp:docPr id="770762837" name="Picture 77076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4143375" cy="2305050"/>
                    </a:xfrm>
                    <a:prstGeom prst="rect">
                      <a:avLst/>
                    </a:prstGeom>
                  </pic:spPr>
                </pic:pic>
              </a:graphicData>
            </a:graphic>
          </wp:inline>
        </w:drawing>
      </w:r>
    </w:p>
    <w:p w14:paraId="5EADC8BF" w14:textId="77777777" w:rsidR="00D828C9" w:rsidRPr="0021250A" w:rsidRDefault="00FF3273">
      <w:pPr>
        <w:spacing w:before="60" w:after="120"/>
        <w:jc w:val="center"/>
        <w:rPr>
          <w:color w:val="000000" w:themeColor="text1"/>
        </w:rPr>
      </w:pPr>
      <w:r>
        <w:rPr>
          <w:i/>
          <w:iCs/>
          <w:color w:val="000000" w:themeColor="text1"/>
          <w:sz w:val="20"/>
          <w:szCs w:val="20"/>
        </w:rPr>
        <w:t>Figure 2. National Fuel Mix for Cooking in Lao PDR. Firewood dominates at 67%, followed by charcoal (24%), electricity (4%), other (3%), and LPG (2%). Source: Lao Social Indicator Survey (LSIS III, 2023).</w:t>
      </w:r>
    </w:p>
    <w:p w14:paraId="4BFB4198" w14:textId="77777777" w:rsidR="00D828C9" w:rsidRPr="0021250A" w:rsidRDefault="00D828C9">
      <w:pPr>
        <w:spacing w:before="40" w:after="40"/>
        <w:rPr>
          <w:color w:val="000000" w:themeColor="text1"/>
        </w:rPr>
      </w:pPr>
    </w:p>
    <w:p w14:paraId="011047E1" w14:textId="1E41A1A0" w:rsidR="00D828C9" w:rsidRPr="0021250A" w:rsidRDefault="00FF3273">
      <w:pPr>
        <w:spacing w:before="80" w:after="80"/>
        <w:jc w:val="both"/>
        <w:rPr>
          <w:color w:val="000000" w:themeColor="text1"/>
        </w:rPr>
      </w:pPr>
      <w:r>
        <w:rPr>
          <w:color w:val="000000" w:themeColor="text1"/>
        </w:rPr>
        <w:t xml:space="preserve">The fuel mix data (Figure 2) confirms the overwhelming reliance on solid biomass: firewood accounts for 67% and charcoal 24% of cooking fuel nationally, totaling 91% biomass dependence. Modern fuels, electricity (4%), LPG (2%), and others (3%) collectively serve only 9% of households. This baseline fuel mix is consistent with the technology distribution modelled in </w:t>
      </w:r>
      <w:proofErr w:type="spellStart"/>
      <w:r>
        <w:rPr>
          <w:color w:val="000000" w:themeColor="text1"/>
        </w:rPr>
        <w:t>OnStove</w:t>
      </w:r>
      <w:proofErr w:type="spellEnd"/>
      <w:r>
        <w:rPr>
          <w:color w:val="000000" w:themeColor="text1"/>
        </w:rPr>
        <w:t xml:space="preserve">, where biomass-burning stoves (Tripod, </w:t>
      </w:r>
      <w:proofErr w:type="spellStart"/>
      <w:r>
        <w:rPr>
          <w:color w:val="000000" w:themeColor="text1"/>
        </w:rPr>
        <w:t>TaoCement</w:t>
      </w:r>
      <w:proofErr w:type="spellEnd"/>
      <w:r>
        <w:rPr>
          <w:color w:val="000000" w:themeColor="text1"/>
        </w:rPr>
        <w:t xml:space="preserve">, </w:t>
      </w:r>
      <w:proofErr w:type="spellStart"/>
      <w:r>
        <w:rPr>
          <w:color w:val="000000" w:themeColor="text1"/>
        </w:rPr>
        <w:t>TaoDam</w:t>
      </w:r>
      <w:proofErr w:type="spellEnd"/>
      <w:r>
        <w:rPr>
          <w:color w:val="000000" w:themeColor="text1"/>
        </w:rPr>
        <w:t xml:space="preserve">, </w:t>
      </w:r>
      <w:proofErr w:type="spellStart"/>
      <w:r>
        <w:rPr>
          <w:color w:val="000000" w:themeColor="text1"/>
        </w:rPr>
        <w:t>TaoPayat</w:t>
      </w:r>
      <w:proofErr w:type="spellEnd"/>
      <w:r>
        <w:rPr>
          <w:color w:val="000000" w:themeColor="text1"/>
        </w:rPr>
        <w:t>) collectively account for approximately 89.8% of national household cooking in the baseline year.</w:t>
      </w:r>
    </w:p>
    <w:p w14:paraId="68A2262D" w14:textId="77777777" w:rsidR="00D828C9" w:rsidRPr="0021250A" w:rsidRDefault="00FF3273">
      <w:pPr>
        <w:pStyle w:val="Heading2"/>
        <w:rPr>
          <w:color w:val="000000" w:themeColor="text1"/>
        </w:rPr>
      </w:pPr>
      <w:bookmarkStart w:id="9" w:name="_Toc224609983"/>
      <w:r>
        <w:rPr>
          <w:color w:val="000000" w:themeColor="text1"/>
        </w:rPr>
        <w:t>2.2 Socioeconomic Parameters</w:t>
      </w:r>
      <w:bookmarkEnd w:id="9"/>
    </w:p>
    <w:p w14:paraId="2F9F8955" w14:textId="77777777" w:rsidR="00D828C9" w:rsidRPr="0021250A" w:rsidRDefault="00FF3273">
      <w:pPr>
        <w:spacing w:before="80" w:after="80"/>
        <w:jc w:val="both"/>
        <w:rPr>
          <w:color w:val="000000" w:themeColor="text1"/>
        </w:rPr>
      </w:pPr>
      <w:r>
        <w:rPr>
          <w:color w:val="000000" w:themeColor="text1"/>
        </w:rPr>
        <w:t xml:space="preserve">The socioeconomic specification file (soc_specs_lao.csv) encodes the demographic, epidemiological, and economic parameters used by </w:t>
      </w:r>
      <w:proofErr w:type="spellStart"/>
      <w:r>
        <w:rPr>
          <w:color w:val="000000" w:themeColor="text1"/>
        </w:rPr>
        <w:t>OnStove</w:t>
      </w:r>
      <w:proofErr w:type="spellEnd"/>
      <w:r>
        <w:rPr>
          <w:color w:val="000000" w:themeColor="text1"/>
        </w:rPr>
        <w:t xml:space="preserve"> to compute net benefits. Table 1 </w:t>
      </w:r>
      <w:proofErr w:type="spellStart"/>
      <w:r>
        <w:rPr>
          <w:color w:val="000000" w:themeColor="text1"/>
        </w:rPr>
        <w:t>summarises</w:t>
      </w:r>
      <w:proofErr w:type="spellEnd"/>
      <w:r>
        <w:rPr>
          <w:color w:val="000000" w:themeColor="text1"/>
        </w:rPr>
        <w:t xml:space="preserve"> the key parameter values and their sources.</w:t>
      </w:r>
    </w:p>
    <w:p w14:paraId="16643FEC" w14:textId="77777777" w:rsidR="00D828C9" w:rsidRPr="0021250A" w:rsidRDefault="00D828C9">
      <w:pPr>
        <w:spacing w:before="40" w:after="40"/>
        <w:rPr>
          <w:color w:val="000000" w:themeColor="text1"/>
        </w:rPr>
      </w:pPr>
    </w:p>
    <w:p w14:paraId="1EF5037F" w14:textId="77777777" w:rsidR="00D828C9" w:rsidRPr="0021250A" w:rsidRDefault="00FF3273">
      <w:pPr>
        <w:spacing w:before="80" w:after="40"/>
        <w:jc w:val="center"/>
        <w:rPr>
          <w:color w:val="000000" w:themeColor="text1"/>
        </w:rPr>
      </w:pPr>
      <w:r>
        <w:rPr>
          <w:b/>
          <w:bCs/>
          <w:color w:val="000000" w:themeColor="text1"/>
          <w:sz w:val="20"/>
          <w:szCs w:val="20"/>
        </w:rPr>
        <w:t xml:space="preserve">Table 1. Key Socioeconomic Parameters for the Lao </w:t>
      </w:r>
      <w:proofErr w:type="spellStart"/>
      <w:r>
        <w:rPr>
          <w:b/>
          <w:bCs/>
          <w:color w:val="000000" w:themeColor="text1"/>
          <w:sz w:val="20"/>
          <w:szCs w:val="20"/>
        </w:rPr>
        <w:t>OnStove</w:t>
      </w:r>
      <w:proofErr w:type="spellEnd"/>
      <w:r>
        <w:rPr>
          <w:b/>
          <w:bCs/>
          <w:color w:val="000000" w:themeColor="text1"/>
          <w:sz w:val="20"/>
          <w:szCs w:val="20"/>
        </w:rPr>
        <w:t xml:space="preserve"> Model</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964"/>
        <w:gridCol w:w="2087"/>
        <w:gridCol w:w="3587"/>
      </w:tblGrid>
      <w:tr w:rsidR="00D828C9" w:rsidRPr="0021250A" w14:paraId="6E7D080E" w14:textId="77777777">
        <w:trPr>
          <w:tblHeader/>
        </w:trPr>
        <w:tc>
          <w:tcPr>
            <w:tcW w:w="38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3893F2E8" w14:textId="77777777" w:rsidR="00D828C9" w:rsidRPr="0021250A" w:rsidRDefault="00FF3273">
            <w:pPr>
              <w:rPr>
                <w:color w:val="000000" w:themeColor="text1"/>
              </w:rPr>
            </w:pPr>
            <w:r>
              <w:rPr>
                <w:b/>
                <w:bCs/>
                <w:color w:val="000000" w:themeColor="text1"/>
                <w:sz w:val="18"/>
                <w:szCs w:val="18"/>
              </w:rPr>
              <w:t>Parameter</w:t>
            </w:r>
          </w:p>
        </w:tc>
        <w:tc>
          <w:tcPr>
            <w:tcW w:w="20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1EDA8AF8" w14:textId="77777777" w:rsidR="00D828C9" w:rsidRPr="0021250A" w:rsidRDefault="00FF3273">
            <w:pPr>
              <w:jc w:val="center"/>
              <w:rPr>
                <w:color w:val="000000" w:themeColor="text1"/>
              </w:rPr>
            </w:pPr>
            <w:r>
              <w:rPr>
                <w:b/>
                <w:bCs/>
                <w:color w:val="000000" w:themeColor="text1"/>
                <w:sz w:val="18"/>
                <w:szCs w:val="18"/>
              </w:rPr>
              <w:t>Value</w:t>
            </w:r>
          </w:p>
        </w:tc>
        <w:tc>
          <w:tcPr>
            <w:tcW w:w="3438"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41121A05" w14:textId="77777777" w:rsidR="00D828C9" w:rsidRPr="0021250A" w:rsidRDefault="00FF3273">
            <w:pPr>
              <w:jc w:val="center"/>
              <w:rPr>
                <w:color w:val="000000" w:themeColor="text1"/>
              </w:rPr>
            </w:pPr>
            <w:r>
              <w:rPr>
                <w:b/>
                <w:bCs/>
                <w:color w:val="000000" w:themeColor="text1"/>
                <w:sz w:val="18"/>
                <w:szCs w:val="18"/>
              </w:rPr>
              <w:t>Source</w:t>
            </w:r>
          </w:p>
        </w:tc>
      </w:tr>
      <w:tr w:rsidR="00D828C9" w:rsidRPr="0021250A" w14:paraId="4B7FDCEC"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DAB03E9" w14:textId="77777777" w:rsidR="00D828C9" w:rsidRPr="0021250A" w:rsidRDefault="00FF3273">
            <w:pPr>
              <w:rPr>
                <w:color w:val="000000" w:themeColor="text1"/>
              </w:rPr>
            </w:pPr>
            <w:r>
              <w:rPr>
                <w:color w:val="000000" w:themeColor="text1"/>
                <w:sz w:val="18"/>
                <w:szCs w:val="18"/>
              </w:rPr>
              <w:t>Population (2025)</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4C1E12E" w14:textId="77777777" w:rsidR="00D828C9" w:rsidRPr="0021250A" w:rsidRDefault="00FF3273">
            <w:pPr>
              <w:jc w:val="center"/>
              <w:rPr>
                <w:color w:val="000000" w:themeColor="text1"/>
              </w:rPr>
            </w:pPr>
            <w:r>
              <w:rPr>
                <w:color w:val="000000" w:themeColor="text1"/>
                <w:sz w:val="18"/>
                <w:szCs w:val="18"/>
              </w:rPr>
              <w:t>7,873,000</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CE86BE5" w14:textId="77777777" w:rsidR="00D828C9" w:rsidRPr="0021250A" w:rsidRDefault="00FF3273">
            <w:pPr>
              <w:jc w:val="center"/>
              <w:rPr>
                <w:color w:val="000000" w:themeColor="text1"/>
              </w:rPr>
            </w:pPr>
            <w:r>
              <w:rPr>
                <w:color w:val="000000" w:themeColor="text1"/>
                <w:sz w:val="18"/>
                <w:szCs w:val="18"/>
              </w:rPr>
              <w:t>UN World Population Prospects 2024</w:t>
            </w:r>
          </w:p>
        </w:tc>
      </w:tr>
      <w:tr w:rsidR="00D828C9" w:rsidRPr="0021250A" w14:paraId="36AB5A2C"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34B3470" w14:textId="77777777" w:rsidR="00D828C9" w:rsidRPr="0021250A" w:rsidRDefault="00FF3273">
            <w:pPr>
              <w:rPr>
                <w:color w:val="000000" w:themeColor="text1"/>
              </w:rPr>
            </w:pPr>
            <w:r>
              <w:rPr>
                <w:color w:val="000000" w:themeColor="text1"/>
                <w:sz w:val="18"/>
                <w:szCs w:val="18"/>
              </w:rPr>
              <w:lastRenderedPageBreak/>
              <w:t>Urban share</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72752F9" w14:textId="77777777" w:rsidR="00D828C9" w:rsidRPr="0021250A" w:rsidRDefault="00FF3273">
            <w:pPr>
              <w:jc w:val="center"/>
              <w:rPr>
                <w:color w:val="000000" w:themeColor="text1"/>
              </w:rPr>
            </w:pPr>
            <w:r>
              <w:rPr>
                <w:color w:val="000000" w:themeColor="text1"/>
                <w:sz w:val="18"/>
                <w:szCs w:val="18"/>
              </w:rPr>
              <w:t>38%</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3AA713B2" w14:textId="77777777" w:rsidR="00D828C9" w:rsidRPr="0021250A" w:rsidRDefault="00FF3273">
            <w:pPr>
              <w:jc w:val="center"/>
              <w:rPr>
                <w:color w:val="000000" w:themeColor="text1"/>
              </w:rPr>
            </w:pPr>
            <w:r>
              <w:rPr>
                <w:color w:val="000000" w:themeColor="text1"/>
                <w:sz w:val="18"/>
                <w:szCs w:val="18"/>
              </w:rPr>
              <w:t>LSIS III (2023)</w:t>
            </w:r>
          </w:p>
        </w:tc>
      </w:tr>
      <w:tr w:rsidR="00D828C9" w:rsidRPr="0021250A" w14:paraId="15DE8ED1"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6AF20E6" w14:textId="77777777" w:rsidR="00D828C9" w:rsidRPr="0021250A" w:rsidRDefault="00FF3273">
            <w:pPr>
              <w:rPr>
                <w:color w:val="000000" w:themeColor="text1"/>
              </w:rPr>
            </w:pPr>
            <w:r>
              <w:rPr>
                <w:color w:val="000000" w:themeColor="text1"/>
                <w:sz w:val="18"/>
                <w:szCs w:val="18"/>
              </w:rPr>
              <w:t>Electricity access (national)</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78E0C5E" w14:textId="77777777" w:rsidR="00D828C9" w:rsidRPr="0021250A" w:rsidRDefault="00FF3273">
            <w:pPr>
              <w:jc w:val="center"/>
              <w:rPr>
                <w:color w:val="000000" w:themeColor="text1"/>
              </w:rPr>
            </w:pPr>
            <w:r>
              <w:rPr>
                <w:color w:val="000000" w:themeColor="text1"/>
                <w:sz w:val="18"/>
                <w:szCs w:val="18"/>
              </w:rPr>
              <w:t>95%</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F7D52CE" w14:textId="77777777" w:rsidR="00D828C9" w:rsidRPr="0021250A" w:rsidRDefault="00FF3273">
            <w:pPr>
              <w:jc w:val="center"/>
              <w:rPr>
                <w:color w:val="000000" w:themeColor="text1"/>
              </w:rPr>
            </w:pPr>
            <w:r>
              <w:rPr>
                <w:color w:val="000000" w:themeColor="text1"/>
                <w:sz w:val="18"/>
                <w:szCs w:val="18"/>
              </w:rPr>
              <w:t>World Bank WDI / MEM</w:t>
            </w:r>
          </w:p>
        </w:tc>
      </w:tr>
      <w:tr w:rsidR="00D828C9" w:rsidRPr="0021250A" w14:paraId="1778E2DE"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619A392" w14:textId="77777777" w:rsidR="00D828C9" w:rsidRPr="0021250A" w:rsidRDefault="00FF3273">
            <w:pPr>
              <w:rPr>
                <w:color w:val="000000" w:themeColor="text1"/>
              </w:rPr>
            </w:pPr>
            <w:r>
              <w:rPr>
                <w:color w:val="000000" w:themeColor="text1"/>
                <w:sz w:val="18"/>
                <w:szCs w:val="18"/>
              </w:rPr>
              <w:t>Rural electrification rate</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0A4E1FE" w14:textId="77777777" w:rsidR="00D828C9" w:rsidRPr="0021250A" w:rsidRDefault="00FF3273">
            <w:pPr>
              <w:jc w:val="center"/>
              <w:rPr>
                <w:color w:val="000000" w:themeColor="text1"/>
              </w:rPr>
            </w:pPr>
            <w:r>
              <w:rPr>
                <w:color w:val="000000" w:themeColor="text1"/>
                <w:sz w:val="18"/>
                <w:szCs w:val="18"/>
              </w:rPr>
              <w:t>90%</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07EB1D5" w14:textId="77777777" w:rsidR="00D828C9" w:rsidRPr="0021250A" w:rsidRDefault="00FF3273">
            <w:pPr>
              <w:jc w:val="center"/>
              <w:rPr>
                <w:color w:val="000000" w:themeColor="text1"/>
              </w:rPr>
            </w:pPr>
            <w:r>
              <w:rPr>
                <w:color w:val="000000" w:themeColor="text1"/>
                <w:sz w:val="18"/>
                <w:szCs w:val="18"/>
              </w:rPr>
              <w:t>World Bank WDI / MEM</w:t>
            </w:r>
          </w:p>
        </w:tc>
      </w:tr>
      <w:tr w:rsidR="00D828C9" w:rsidRPr="0021250A" w14:paraId="65A5836D"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3A411C1" w14:textId="77777777" w:rsidR="00D828C9" w:rsidRPr="0021250A" w:rsidRDefault="00FF3273">
            <w:pPr>
              <w:rPr>
                <w:color w:val="000000" w:themeColor="text1"/>
              </w:rPr>
            </w:pPr>
            <w:r>
              <w:rPr>
                <w:color w:val="000000" w:themeColor="text1"/>
                <w:sz w:val="18"/>
                <w:szCs w:val="18"/>
              </w:rPr>
              <w:t>Urban electrification rate</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849D373" w14:textId="77777777" w:rsidR="00D828C9" w:rsidRPr="0021250A" w:rsidRDefault="00FF3273">
            <w:pPr>
              <w:jc w:val="center"/>
              <w:rPr>
                <w:color w:val="000000" w:themeColor="text1"/>
              </w:rPr>
            </w:pPr>
            <w:r>
              <w:rPr>
                <w:color w:val="000000" w:themeColor="text1"/>
                <w:sz w:val="18"/>
                <w:szCs w:val="18"/>
              </w:rPr>
              <w:t>99%</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34192B1" w14:textId="77777777" w:rsidR="00D828C9" w:rsidRPr="0021250A" w:rsidRDefault="00FF3273">
            <w:pPr>
              <w:jc w:val="center"/>
              <w:rPr>
                <w:color w:val="000000" w:themeColor="text1"/>
              </w:rPr>
            </w:pPr>
            <w:r>
              <w:rPr>
                <w:color w:val="000000" w:themeColor="text1"/>
                <w:sz w:val="18"/>
                <w:szCs w:val="18"/>
              </w:rPr>
              <w:t>World Bank WDI / MEM</w:t>
            </w:r>
          </w:p>
        </w:tc>
      </w:tr>
      <w:tr w:rsidR="00D828C9" w:rsidRPr="0021250A" w14:paraId="5F468939"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9AFDD25" w14:textId="77777777" w:rsidR="00D828C9" w:rsidRPr="0021250A" w:rsidRDefault="00FF3273">
            <w:pPr>
              <w:rPr>
                <w:color w:val="000000" w:themeColor="text1"/>
              </w:rPr>
            </w:pPr>
            <w:r>
              <w:rPr>
                <w:color w:val="000000" w:themeColor="text1"/>
                <w:sz w:val="18"/>
                <w:szCs w:val="18"/>
              </w:rPr>
              <w:t>Rural household size</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AC3812D" w14:textId="77777777" w:rsidR="00D828C9" w:rsidRPr="0021250A" w:rsidRDefault="00FF3273">
            <w:pPr>
              <w:jc w:val="center"/>
              <w:rPr>
                <w:color w:val="000000" w:themeColor="text1"/>
              </w:rPr>
            </w:pPr>
            <w:r>
              <w:rPr>
                <w:color w:val="000000" w:themeColor="text1"/>
                <w:sz w:val="18"/>
                <w:szCs w:val="18"/>
              </w:rPr>
              <w:t>5.8 persons</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93F5FB0" w14:textId="77777777" w:rsidR="00D828C9" w:rsidRPr="0021250A" w:rsidRDefault="00FF3273">
            <w:pPr>
              <w:jc w:val="center"/>
              <w:rPr>
                <w:color w:val="000000" w:themeColor="text1"/>
              </w:rPr>
            </w:pPr>
            <w:r>
              <w:rPr>
                <w:color w:val="000000" w:themeColor="text1"/>
                <w:sz w:val="18"/>
                <w:szCs w:val="18"/>
              </w:rPr>
              <w:t>LSIS III (2023)</w:t>
            </w:r>
          </w:p>
        </w:tc>
      </w:tr>
      <w:tr w:rsidR="00D828C9" w:rsidRPr="0021250A" w14:paraId="3325B04B"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00B48F1" w14:textId="77777777" w:rsidR="00D828C9" w:rsidRPr="0021250A" w:rsidRDefault="00FF3273">
            <w:pPr>
              <w:rPr>
                <w:color w:val="000000" w:themeColor="text1"/>
              </w:rPr>
            </w:pPr>
            <w:r>
              <w:rPr>
                <w:color w:val="000000" w:themeColor="text1"/>
                <w:sz w:val="18"/>
                <w:szCs w:val="18"/>
              </w:rPr>
              <w:t>Urban household size</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BFA1B58" w14:textId="77777777" w:rsidR="00D828C9" w:rsidRPr="0021250A" w:rsidRDefault="00FF3273">
            <w:pPr>
              <w:jc w:val="center"/>
              <w:rPr>
                <w:color w:val="000000" w:themeColor="text1"/>
              </w:rPr>
            </w:pPr>
            <w:r>
              <w:rPr>
                <w:color w:val="000000" w:themeColor="text1"/>
                <w:sz w:val="18"/>
                <w:szCs w:val="18"/>
              </w:rPr>
              <w:t>5.5 persons</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4F7D7FD" w14:textId="77777777" w:rsidR="00D828C9" w:rsidRPr="0021250A" w:rsidRDefault="00FF3273">
            <w:pPr>
              <w:jc w:val="center"/>
              <w:rPr>
                <w:color w:val="000000" w:themeColor="text1"/>
              </w:rPr>
            </w:pPr>
            <w:r>
              <w:rPr>
                <w:color w:val="000000" w:themeColor="text1"/>
                <w:sz w:val="18"/>
                <w:szCs w:val="18"/>
              </w:rPr>
              <w:t>LSIS III (2023)</w:t>
            </w:r>
          </w:p>
        </w:tc>
      </w:tr>
      <w:tr w:rsidR="00D828C9" w:rsidRPr="0021250A" w14:paraId="4954D0AC"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7E90D9B" w14:textId="77777777" w:rsidR="00D828C9" w:rsidRPr="0021250A" w:rsidRDefault="00FF3273">
            <w:pPr>
              <w:rPr>
                <w:color w:val="000000" w:themeColor="text1"/>
              </w:rPr>
            </w:pPr>
            <w:r>
              <w:rPr>
                <w:color w:val="000000" w:themeColor="text1"/>
                <w:sz w:val="18"/>
                <w:szCs w:val="18"/>
              </w:rPr>
              <w:t>Meals per day</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2BBBD69" w14:textId="77777777" w:rsidR="00D828C9" w:rsidRPr="0021250A" w:rsidRDefault="00FF3273">
            <w:pPr>
              <w:jc w:val="center"/>
              <w:rPr>
                <w:color w:val="000000" w:themeColor="text1"/>
              </w:rPr>
            </w:pPr>
            <w:r>
              <w:rPr>
                <w:color w:val="000000" w:themeColor="text1"/>
                <w:sz w:val="18"/>
                <w:szCs w:val="18"/>
              </w:rPr>
              <w:t>3</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75E57A4" w14:textId="77777777" w:rsidR="00D828C9" w:rsidRPr="0021250A" w:rsidRDefault="00FF3273">
            <w:pPr>
              <w:jc w:val="center"/>
              <w:rPr>
                <w:color w:val="000000" w:themeColor="text1"/>
              </w:rPr>
            </w:pPr>
            <w:r>
              <w:rPr>
                <w:color w:val="000000" w:themeColor="text1"/>
                <w:sz w:val="18"/>
                <w:szCs w:val="18"/>
              </w:rPr>
              <w:t>LSB National Statistics</w:t>
            </w:r>
          </w:p>
        </w:tc>
      </w:tr>
      <w:tr w:rsidR="00D828C9" w:rsidRPr="0021250A" w14:paraId="3C915085"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5D622C3" w14:textId="77777777" w:rsidR="00D828C9" w:rsidRPr="0021250A" w:rsidRDefault="00FF3273">
            <w:pPr>
              <w:rPr>
                <w:color w:val="000000" w:themeColor="text1"/>
              </w:rPr>
            </w:pPr>
            <w:r>
              <w:rPr>
                <w:color w:val="000000" w:themeColor="text1"/>
                <w:sz w:val="18"/>
                <w:szCs w:val="18"/>
              </w:rPr>
              <w:t>Minimum wage</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300693C" w14:textId="77777777" w:rsidR="00D828C9" w:rsidRPr="0021250A" w:rsidRDefault="00FF3273">
            <w:pPr>
              <w:jc w:val="center"/>
              <w:rPr>
                <w:color w:val="000000" w:themeColor="text1"/>
              </w:rPr>
            </w:pPr>
            <w:r>
              <w:rPr>
                <w:color w:val="000000" w:themeColor="text1"/>
                <w:sz w:val="18"/>
                <w:szCs w:val="18"/>
              </w:rPr>
              <w:t>USD 126/month</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1D1E6D6" w14:textId="77777777" w:rsidR="00D828C9" w:rsidRPr="0021250A" w:rsidRDefault="00FF3273">
            <w:pPr>
              <w:jc w:val="center"/>
              <w:rPr>
                <w:color w:val="000000" w:themeColor="text1"/>
              </w:rPr>
            </w:pPr>
            <w:r>
              <w:rPr>
                <w:color w:val="000000" w:themeColor="text1"/>
                <w:sz w:val="18"/>
                <w:szCs w:val="18"/>
              </w:rPr>
              <w:t xml:space="preserve">LSB / </w:t>
            </w:r>
            <w:proofErr w:type="spellStart"/>
            <w:r>
              <w:rPr>
                <w:color w:val="000000" w:themeColor="text1"/>
                <w:sz w:val="18"/>
                <w:szCs w:val="18"/>
              </w:rPr>
              <w:t>MoLSW</w:t>
            </w:r>
            <w:proofErr w:type="spellEnd"/>
            <w:r>
              <w:rPr>
                <w:color w:val="000000" w:themeColor="text1"/>
                <w:sz w:val="18"/>
                <w:szCs w:val="18"/>
              </w:rPr>
              <w:t xml:space="preserve"> 2024</w:t>
            </w:r>
          </w:p>
        </w:tc>
      </w:tr>
      <w:tr w:rsidR="00D828C9" w:rsidRPr="0021250A" w14:paraId="5FD67E22"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DCAE1AC" w14:textId="77777777" w:rsidR="00D828C9" w:rsidRPr="0021250A" w:rsidRDefault="00FF3273">
            <w:pPr>
              <w:rPr>
                <w:color w:val="000000" w:themeColor="text1"/>
              </w:rPr>
            </w:pPr>
            <w:r>
              <w:rPr>
                <w:color w:val="000000" w:themeColor="text1"/>
                <w:sz w:val="18"/>
                <w:szCs w:val="18"/>
              </w:rPr>
              <w:t>Value of Statistical Life (VSL)</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B4057C7" w14:textId="77777777" w:rsidR="00D828C9" w:rsidRPr="0021250A" w:rsidRDefault="00FF3273">
            <w:pPr>
              <w:jc w:val="center"/>
              <w:rPr>
                <w:color w:val="000000" w:themeColor="text1"/>
              </w:rPr>
            </w:pPr>
            <w:r>
              <w:rPr>
                <w:color w:val="000000" w:themeColor="text1"/>
                <w:sz w:val="18"/>
                <w:szCs w:val="18"/>
              </w:rPr>
              <w:t>USD 134,765</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E745465" w14:textId="77777777" w:rsidR="00D828C9" w:rsidRPr="0021250A" w:rsidRDefault="00FF3273">
            <w:pPr>
              <w:jc w:val="center"/>
              <w:rPr>
                <w:color w:val="000000" w:themeColor="text1"/>
              </w:rPr>
            </w:pPr>
            <w:r>
              <w:rPr>
                <w:color w:val="000000" w:themeColor="text1"/>
                <w:sz w:val="18"/>
                <w:szCs w:val="18"/>
              </w:rPr>
              <w:t>Calculated (income-adjusted)</w:t>
            </w:r>
          </w:p>
        </w:tc>
      </w:tr>
      <w:tr w:rsidR="00D828C9" w:rsidRPr="0021250A" w14:paraId="6D0F09EB"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2B1B737" w14:textId="77777777" w:rsidR="00D828C9" w:rsidRPr="0021250A" w:rsidRDefault="00FF3273">
            <w:pPr>
              <w:rPr>
                <w:color w:val="000000" w:themeColor="text1"/>
              </w:rPr>
            </w:pPr>
            <w:r>
              <w:rPr>
                <w:color w:val="000000" w:themeColor="text1"/>
                <w:sz w:val="18"/>
                <w:szCs w:val="18"/>
              </w:rPr>
              <w:t>Discount rate</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6CEA328" w14:textId="77777777" w:rsidR="00D828C9" w:rsidRPr="0021250A" w:rsidRDefault="00FF3273">
            <w:pPr>
              <w:jc w:val="center"/>
              <w:rPr>
                <w:color w:val="000000" w:themeColor="text1"/>
              </w:rPr>
            </w:pPr>
            <w:r>
              <w:rPr>
                <w:color w:val="000000" w:themeColor="text1"/>
                <w:sz w:val="18"/>
                <w:szCs w:val="18"/>
              </w:rPr>
              <w:t>15%</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055F7C5" w14:textId="77777777" w:rsidR="00D828C9" w:rsidRPr="0021250A" w:rsidRDefault="00FF3273">
            <w:pPr>
              <w:jc w:val="center"/>
              <w:rPr>
                <w:color w:val="000000" w:themeColor="text1"/>
              </w:rPr>
            </w:pPr>
            <w:r>
              <w:rPr>
                <w:color w:val="000000" w:themeColor="text1"/>
                <w:sz w:val="18"/>
                <w:szCs w:val="18"/>
              </w:rPr>
              <w:t>LSB / World Bank</w:t>
            </w:r>
          </w:p>
        </w:tc>
      </w:tr>
      <w:tr w:rsidR="00D828C9" w:rsidRPr="0021250A" w14:paraId="289F5414"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4FC75E7" w14:textId="77777777" w:rsidR="00D828C9" w:rsidRPr="0021250A" w:rsidRDefault="00FF3273">
            <w:pPr>
              <w:rPr>
                <w:color w:val="000000" w:themeColor="text1"/>
              </w:rPr>
            </w:pPr>
            <w:r>
              <w:rPr>
                <w:color w:val="000000" w:themeColor="text1"/>
                <w:sz w:val="18"/>
                <w:szCs w:val="18"/>
              </w:rPr>
              <w:t>Non-renewable biomass fraction (</w:t>
            </w:r>
            <w:proofErr w:type="spellStart"/>
            <w:r>
              <w:rPr>
                <w:color w:val="000000" w:themeColor="text1"/>
                <w:sz w:val="18"/>
                <w:szCs w:val="18"/>
              </w:rPr>
              <w:t>fnrb</w:t>
            </w:r>
            <w:proofErr w:type="spellEnd"/>
            <w:r>
              <w:rPr>
                <w:color w:val="000000" w:themeColor="text1"/>
                <w:sz w:val="18"/>
                <w:szCs w:val="18"/>
              </w:rPr>
              <w:t>)</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44410BD" w14:textId="77777777" w:rsidR="00D828C9" w:rsidRPr="0021250A" w:rsidRDefault="00FF3273">
            <w:pPr>
              <w:jc w:val="center"/>
              <w:rPr>
                <w:color w:val="000000" w:themeColor="text1"/>
              </w:rPr>
            </w:pPr>
            <w:r>
              <w:rPr>
                <w:color w:val="000000" w:themeColor="text1"/>
                <w:sz w:val="18"/>
                <w:szCs w:val="18"/>
              </w:rPr>
              <w:t>0.15</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242D2D8" w14:textId="77777777" w:rsidR="00D828C9" w:rsidRPr="0021250A" w:rsidRDefault="00FF3273">
            <w:pPr>
              <w:jc w:val="center"/>
              <w:rPr>
                <w:color w:val="000000" w:themeColor="text1"/>
              </w:rPr>
            </w:pPr>
            <w:r>
              <w:rPr>
                <w:color w:val="000000" w:themeColor="text1"/>
                <w:sz w:val="18"/>
                <w:szCs w:val="18"/>
              </w:rPr>
              <w:t>UNFCCC CDM TOOL33 v3.0</w:t>
            </w:r>
          </w:p>
        </w:tc>
      </w:tr>
      <w:tr w:rsidR="00D828C9" w:rsidRPr="0021250A" w14:paraId="57B46799"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369522B" w14:textId="77777777" w:rsidR="00D828C9" w:rsidRPr="0021250A" w:rsidRDefault="00FF3273">
            <w:pPr>
              <w:rPr>
                <w:color w:val="000000" w:themeColor="text1"/>
              </w:rPr>
            </w:pPr>
            <w:r>
              <w:rPr>
                <w:color w:val="000000" w:themeColor="text1"/>
                <w:sz w:val="18"/>
                <w:szCs w:val="18"/>
              </w:rPr>
              <w:t>Carbon cost</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7A81F95C" w14:textId="77777777" w:rsidR="00D828C9" w:rsidRPr="0021250A" w:rsidRDefault="00FF3273">
            <w:pPr>
              <w:jc w:val="center"/>
              <w:rPr>
                <w:color w:val="000000" w:themeColor="text1"/>
              </w:rPr>
            </w:pPr>
            <w:r>
              <w:rPr>
                <w:color w:val="000000" w:themeColor="text1"/>
                <w:sz w:val="18"/>
                <w:szCs w:val="18"/>
              </w:rPr>
              <w:t>USD 51/</w:t>
            </w:r>
            <w:proofErr w:type="spellStart"/>
            <w:r>
              <w:rPr>
                <w:color w:val="000000" w:themeColor="text1"/>
                <w:sz w:val="18"/>
                <w:szCs w:val="18"/>
              </w:rPr>
              <w:t>tonne</w:t>
            </w:r>
            <w:proofErr w:type="spellEnd"/>
            <w:r>
              <w:rPr>
                <w:color w:val="000000" w:themeColor="text1"/>
                <w:sz w:val="18"/>
                <w:szCs w:val="18"/>
              </w:rPr>
              <w:t xml:space="preserve"> CO₂</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7483209" w14:textId="77777777" w:rsidR="00D828C9" w:rsidRPr="0021250A" w:rsidRDefault="00FF3273">
            <w:pPr>
              <w:jc w:val="center"/>
              <w:rPr>
                <w:color w:val="000000" w:themeColor="text1"/>
              </w:rPr>
            </w:pPr>
            <w:r>
              <w:rPr>
                <w:color w:val="000000" w:themeColor="text1"/>
                <w:sz w:val="18"/>
                <w:szCs w:val="18"/>
              </w:rPr>
              <w:t>Social cost of carbon</w:t>
            </w:r>
          </w:p>
        </w:tc>
      </w:tr>
      <w:tr w:rsidR="00D828C9" w:rsidRPr="0021250A" w14:paraId="3D805E38"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3EF73ABD" w14:textId="77777777" w:rsidR="00D828C9" w:rsidRPr="0021250A" w:rsidRDefault="00FF3273">
            <w:pPr>
              <w:rPr>
                <w:color w:val="000000" w:themeColor="text1"/>
              </w:rPr>
            </w:pPr>
            <w:r>
              <w:rPr>
                <w:color w:val="000000" w:themeColor="text1"/>
                <w:sz w:val="18"/>
                <w:szCs w:val="18"/>
              </w:rPr>
              <w:t>Mortality rate — COPD (per 100k)</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D953C8D" w14:textId="77777777" w:rsidR="00D828C9" w:rsidRPr="0021250A" w:rsidRDefault="00FF3273">
            <w:pPr>
              <w:jc w:val="center"/>
              <w:rPr>
                <w:color w:val="000000" w:themeColor="text1"/>
              </w:rPr>
            </w:pPr>
            <w:r>
              <w:rPr>
                <w:color w:val="000000" w:themeColor="text1"/>
                <w:sz w:val="18"/>
                <w:szCs w:val="18"/>
              </w:rPr>
              <w:t>15.2</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140C989" w14:textId="77777777" w:rsidR="00D828C9" w:rsidRPr="0021250A" w:rsidRDefault="00FF3273">
            <w:pPr>
              <w:jc w:val="center"/>
              <w:rPr>
                <w:color w:val="000000" w:themeColor="text1"/>
              </w:rPr>
            </w:pPr>
            <w:r>
              <w:rPr>
                <w:color w:val="000000" w:themeColor="text1"/>
                <w:sz w:val="18"/>
                <w:szCs w:val="18"/>
              </w:rPr>
              <w:t>IHME GBD 2019</w:t>
            </w:r>
          </w:p>
        </w:tc>
      </w:tr>
      <w:tr w:rsidR="00D828C9" w:rsidRPr="0021250A" w14:paraId="5A92AA31"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0AB4ED5" w14:textId="77777777" w:rsidR="00D828C9" w:rsidRPr="0021250A" w:rsidRDefault="00FF3273">
            <w:pPr>
              <w:rPr>
                <w:color w:val="000000" w:themeColor="text1"/>
              </w:rPr>
            </w:pPr>
            <w:r>
              <w:rPr>
                <w:color w:val="000000" w:themeColor="text1"/>
                <w:sz w:val="18"/>
                <w:szCs w:val="18"/>
              </w:rPr>
              <w:t>Mortality rate — IHD (per 100k)</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6FBF59B" w14:textId="77777777" w:rsidR="00D828C9" w:rsidRPr="0021250A" w:rsidRDefault="00FF3273">
            <w:pPr>
              <w:jc w:val="center"/>
              <w:rPr>
                <w:color w:val="000000" w:themeColor="text1"/>
              </w:rPr>
            </w:pPr>
            <w:r>
              <w:rPr>
                <w:color w:val="000000" w:themeColor="text1"/>
                <w:sz w:val="18"/>
                <w:szCs w:val="18"/>
              </w:rPr>
              <w:t>85.5</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B0A05F0" w14:textId="77777777" w:rsidR="00D828C9" w:rsidRPr="0021250A" w:rsidRDefault="00FF3273">
            <w:pPr>
              <w:jc w:val="center"/>
              <w:rPr>
                <w:color w:val="000000" w:themeColor="text1"/>
              </w:rPr>
            </w:pPr>
            <w:r>
              <w:rPr>
                <w:color w:val="000000" w:themeColor="text1"/>
                <w:sz w:val="18"/>
                <w:szCs w:val="18"/>
              </w:rPr>
              <w:t>IHME GBD 2019</w:t>
            </w:r>
          </w:p>
        </w:tc>
      </w:tr>
      <w:tr w:rsidR="00D828C9" w:rsidRPr="0021250A" w14:paraId="50171AA2"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7980A1E" w14:textId="77777777" w:rsidR="00D828C9" w:rsidRPr="0021250A" w:rsidRDefault="00FF3273">
            <w:pPr>
              <w:rPr>
                <w:color w:val="000000" w:themeColor="text1"/>
              </w:rPr>
            </w:pPr>
            <w:r>
              <w:rPr>
                <w:color w:val="000000" w:themeColor="text1"/>
                <w:sz w:val="18"/>
                <w:szCs w:val="18"/>
              </w:rPr>
              <w:t>Mortality rate — ALRI (per 100k)</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EC90574" w14:textId="77777777" w:rsidR="00D828C9" w:rsidRPr="0021250A" w:rsidRDefault="00FF3273">
            <w:pPr>
              <w:jc w:val="center"/>
              <w:rPr>
                <w:color w:val="000000" w:themeColor="text1"/>
              </w:rPr>
            </w:pPr>
            <w:r>
              <w:rPr>
                <w:color w:val="000000" w:themeColor="text1"/>
                <w:sz w:val="18"/>
                <w:szCs w:val="18"/>
              </w:rPr>
              <w:t>45.2</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0E303D6" w14:textId="77777777" w:rsidR="00D828C9" w:rsidRPr="0021250A" w:rsidRDefault="00FF3273">
            <w:pPr>
              <w:jc w:val="center"/>
              <w:rPr>
                <w:color w:val="000000" w:themeColor="text1"/>
              </w:rPr>
            </w:pPr>
            <w:r>
              <w:rPr>
                <w:color w:val="000000" w:themeColor="text1"/>
                <w:sz w:val="18"/>
                <w:szCs w:val="18"/>
              </w:rPr>
              <w:t>IHME GBD 2019</w:t>
            </w:r>
          </w:p>
        </w:tc>
      </w:tr>
      <w:tr w:rsidR="00D828C9" w:rsidRPr="0021250A" w14:paraId="29F56ACB" w14:textId="77777777">
        <w:tc>
          <w:tcPr>
            <w:tcW w:w="3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165964A" w14:textId="77777777" w:rsidR="00D828C9" w:rsidRPr="0021250A" w:rsidRDefault="00FF3273">
            <w:pPr>
              <w:rPr>
                <w:color w:val="000000" w:themeColor="text1"/>
              </w:rPr>
            </w:pPr>
            <w:r>
              <w:rPr>
                <w:color w:val="000000" w:themeColor="text1"/>
                <w:sz w:val="18"/>
                <w:szCs w:val="18"/>
              </w:rPr>
              <w:t>Mortality rate — Stroke (per 100k)</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1435BC4" w14:textId="77777777" w:rsidR="00D828C9" w:rsidRPr="0021250A" w:rsidRDefault="00FF3273">
            <w:pPr>
              <w:jc w:val="center"/>
              <w:rPr>
                <w:color w:val="000000" w:themeColor="text1"/>
              </w:rPr>
            </w:pPr>
            <w:r>
              <w:rPr>
                <w:color w:val="000000" w:themeColor="text1"/>
                <w:sz w:val="18"/>
                <w:szCs w:val="18"/>
              </w:rPr>
              <w:t>95.4</w:t>
            </w:r>
          </w:p>
        </w:tc>
        <w:tc>
          <w:tcPr>
            <w:tcW w:w="34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024419A" w14:textId="77777777" w:rsidR="00D828C9" w:rsidRPr="0021250A" w:rsidRDefault="00FF3273">
            <w:pPr>
              <w:jc w:val="center"/>
              <w:rPr>
                <w:color w:val="000000" w:themeColor="text1"/>
              </w:rPr>
            </w:pPr>
            <w:r>
              <w:rPr>
                <w:color w:val="000000" w:themeColor="text1"/>
                <w:sz w:val="18"/>
                <w:szCs w:val="18"/>
              </w:rPr>
              <w:t>IHME GBD 2019</w:t>
            </w:r>
          </w:p>
        </w:tc>
      </w:tr>
      <w:tr w:rsidR="00D828C9" w:rsidRPr="0021250A" w14:paraId="33FA413C" w14:textId="77777777">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70EA9EA" w14:textId="77777777" w:rsidR="00D828C9" w:rsidRPr="0021250A" w:rsidRDefault="00FF3273">
            <w:pPr>
              <w:rPr>
                <w:color w:val="000000" w:themeColor="text1"/>
              </w:rPr>
            </w:pPr>
            <w:r>
              <w:rPr>
                <w:color w:val="000000" w:themeColor="text1"/>
                <w:sz w:val="18"/>
                <w:szCs w:val="18"/>
              </w:rPr>
              <w:t>Mortality rate — Lung Cancer (per 100k)</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8994A61" w14:textId="77777777" w:rsidR="00D828C9" w:rsidRPr="0021250A" w:rsidRDefault="00FF3273">
            <w:pPr>
              <w:jc w:val="center"/>
              <w:rPr>
                <w:color w:val="000000" w:themeColor="text1"/>
              </w:rPr>
            </w:pPr>
            <w:r>
              <w:rPr>
                <w:color w:val="000000" w:themeColor="text1"/>
                <w:sz w:val="18"/>
                <w:szCs w:val="18"/>
              </w:rPr>
              <w:t>12.4</w:t>
            </w:r>
          </w:p>
        </w:tc>
        <w:tc>
          <w:tcPr>
            <w:tcW w:w="34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BC732F2" w14:textId="77777777" w:rsidR="00D828C9" w:rsidRPr="0021250A" w:rsidRDefault="00FF3273">
            <w:pPr>
              <w:jc w:val="center"/>
              <w:rPr>
                <w:color w:val="000000" w:themeColor="text1"/>
              </w:rPr>
            </w:pPr>
            <w:r>
              <w:rPr>
                <w:color w:val="000000" w:themeColor="text1"/>
                <w:sz w:val="18"/>
                <w:szCs w:val="18"/>
              </w:rPr>
              <w:t>IHME GBD 2019</w:t>
            </w:r>
          </w:p>
        </w:tc>
      </w:tr>
    </w:tbl>
    <w:p w14:paraId="22A5740A" w14:textId="77777777" w:rsidR="00D828C9" w:rsidRPr="0021250A" w:rsidRDefault="00FF3273">
      <w:pPr>
        <w:spacing w:before="60" w:after="120"/>
        <w:jc w:val="center"/>
        <w:rPr>
          <w:color w:val="000000" w:themeColor="text1"/>
        </w:rPr>
      </w:pPr>
      <w:r>
        <w:rPr>
          <w:i/>
          <w:iCs/>
          <w:color w:val="000000" w:themeColor="text1"/>
          <w:sz w:val="20"/>
          <w:szCs w:val="20"/>
        </w:rPr>
        <w:t xml:space="preserve">Table 1. Socioeconomic parameters encoded in soc_specs_lao.csv. COPD = Chronic Obstructive Pulmonary Disease; IHD = </w:t>
      </w:r>
      <w:proofErr w:type="spellStart"/>
      <w:r>
        <w:rPr>
          <w:i/>
          <w:iCs/>
          <w:color w:val="000000" w:themeColor="text1"/>
          <w:sz w:val="20"/>
          <w:szCs w:val="20"/>
        </w:rPr>
        <w:t>Ischaemic</w:t>
      </w:r>
      <w:proofErr w:type="spellEnd"/>
      <w:r>
        <w:rPr>
          <w:i/>
          <w:iCs/>
          <w:color w:val="000000" w:themeColor="text1"/>
          <w:sz w:val="20"/>
          <w:szCs w:val="20"/>
        </w:rPr>
        <w:t xml:space="preserve"> Heart Disease; ALRI = Acute Lower Respiratory Infection; GBD = Global Burden of Disease.</w:t>
      </w:r>
    </w:p>
    <w:p w14:paraId="406163EC" w14:textId="77777777" w:rsidR="00D828C9" w:rsidRPr="0021250A" w:rsidRDefault="00D828C9">
      <w:pPr>
        <w:spacing w:before="40" w:after="40"/>
        <w:rPr>
          <w:color w:val="000000" w:themeColor="text1"/>
        </w:rPr>
      </w:pPr>
    </w:p>
    <w:p w14:paraId="734328BA" w14:textId="56E23829" w:rsidR="00D828C9" w:rsidRPr="0021250A" w:rsidRDefault="00FF3273">
      <w:pPr>
        <w:spacing w:before="80" w:after="80"/>
        <w:jc w:val="both"/>
        <w:rPr>
          <w:color w:val="000000" w:themeColor="text1"/>
        </w:rPr>
      </w:pPr>
      <w:r>
        <w:rPr>
          <w:color w:val="000000" w:themeColor="text1"/>
        </w:rPr>
        <w:t>The health impact parameters deserve particular attention, as they are the primary driver of the net-benefit calculation. The mortality rates from IHME's Global Burden of Disease 2019 study reflect Lao PDR's disease burden attributable to household air pollution. The Stroke mortality rate (95.4 per 100,000) and IHD rate (85.5 per 100,000) are notably high, reflecting the compounding effects of HAP exposure, smoking prevalence, and limited access to cardiovascular care. The ALRI rate (45.2 per 100,000) predo</w:t>
      </w:r>
      <w:r>
        <w:rPr>
          <w:color w:val="000000" w:themeColor="text1"/>
        </w:rPr>
        <w:t>minantly affects children under five, a demographic particularly vulnerable to cooking smoke exposure.</w:t>
      </w:r>
    </w:p>
    <w:p w14:paraId="742F61D1" w14:textId="1A37EA52" w:rsidR="00D828C9" w:rsidRPr="0021250A" w:rsidRDefault="00FF3273">
      <w:pPr>
        <w:spacing w:before="80" w:after="80"/>
        <w:jc w:val="both"/>
        <w:rPr>
          <w:color w:val="000000" w:themeColor="text1"/>
        </w:rPr>
      </w:pPr>
      <w:r>
        <w:rPr>
          <w:color w:val="000000" w:themeColor="text1"/>
        </w:rPr>
        <w:t>The Value of Statistical Life (VSL) of USD 134,765 was calculated using an income-elasticity adjustment from the OECD base VSL, reflecting Lao PDR's per capita income level. This is substantially lower than VSL values used in high-income country analyses (typically USD 3–10 million), which explains why the net economic gains appear moderate relative to some comparable studies — the model applies conservative, country-appropriate health valuations.</w:t>
      </w:r>
    </w:p>
    <w:p w14:paraId="58C88CBB" w14:textId="77777777" w:rsidR="00D828C9" w:rsidRPr="0021250A" w:rsidRDefault="00FF3273">
      <w:pPr>
        <w:pStyle w:val="Heading2"/>
        <w:rPr>
          <w:color w:val="000000" w:themeColor="text1"/>
        </w:rPr>
      </w:pPr>
      <w:bookmarkStart w:id="10" w:name="_Toc224609984"/>
      <w:r>
        <w:rPr>
          <w:color w:val="000000" w:themeColor="text1"/>
        </w:rPr>
        <w:t>2.3 Technology Specification Parameters</w:t>
      </w:r>
      <w:bookmarkEnd w:id="10"/>
    </w:p>
    <w:p w14:paraId="20CBBAE0" w14:textId="77777777" w:rsidR="00D828C9" w:rsidRPr="0021250A" w:rsidRDefault="00FF3273">
      <w:pPr>
        <w:spacing w:before="80" w:after="80"/>
        <w:jc w:val="both"/>
        <w:rPr>
          <w:color w:val="000000" w:themeColor="text1"/>
        </w:rPr>
      </w:pPr>
      <w:r>
        <w:rPr>
          <w:color w:val="000000" w:themeColor="text1"/>
        </w:rPr>
        <w:t xml:space="preserve">The technology specification file (tech_specs_lao.csv) encodes the physical, economic, and emission characteristics of all nine technologies in the model. Table 2 </w:t>
      </w:r>
      <w:proofErr w:type="spellStart"/>
      <w:r>
        <w:rPr>
          <w:color w:val="000000" w:themeColor="text1"/>
        </w:rPr>
        <w:t>summarises</w:t>
      </w:r>
      <w:proofErr w:type="spellEnd"/>
      <w:r>
        <w:rPr>
          <w:color w:val="000000" w:themeColor="text1"/>
        </w:rPr>
        <w:t xml:space="preserve"> the key parameters for each technology.</w:t>
      </w:r>
    </w:p>
    <w:p w14:paraId="42CCEE27" w14:textId="77777777" w:rsidR="00D828C9" w:rsidRPr="0021250A" w:rsidRDefault="00D828C9">
      <w:pPr>
        <w:spacing w:before="40" w:after="40"/>
        <w:rPr>
          <w:color w:val="000000" w:themeColor="text1"/>
        </w:rPr>
      </w:pPr>
    </w:p>
    <w:p w14:paraId="4AD932A5" w14:textId="77777777" w:rsidR="00D828C9" w:rsidRPr="0021250A" w:rsidRDefault="00FF3273">
      <w:pPr>
        <w:spacing w:before="80" w:after="40"/>
        <w:jc w:val="center"/>
        <w:rPr>
          <w:color w:val="000000" w:themeColor="text1"/>
        </w:rPr>
      </w:pPr>
      <w:r>
        <w:rPr>
          <w:b/>
          <w:bCs/>
          <w:color w:val="000000" w:themeColor="text1"/>
          <w:sz w:val="20"/>
          <w:szCs w:val="20"/>
        </w:rPr>
        <w:t xml:space="preserve">Table 2. Technology Specification Parameters for the Lao </w:t>
      </w:r>
      <w:proofErr w:type="spellStart"/>
      <w:r>
        <w:rPr>
          <w:b/>
          <w:bCs/>
          <w:color w:val="000000" w:themeColor="text1"/>
          <w:sz w:val="20"/>
          <w:szCs w:val="20"/>
        </w:rPr>
        <w:t>OnStove</w:t>
      </w:r>
      <w:proofErr w:type="spellEnd"/>
      <w:r>
        <w:rPr>
          <w:b/>
          <w:bCs/>
          <w:color w:val="000000" w:themeColor="text1"/>
          <w:sz w:val="20"/>
          <w:szCs w:val="20"/>
        </w:rPr>
        <w:t xml:space="preserve"> Model</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882"/>
        <w:gridCol w:w="975"/>
        <w:gridCol w:w="997"/>
        <w:gridCol w:w="997"/>
        <w:gridCol w:w="997"/>
        <w:gridCol w:w="997"/>
        <w:gridCol w:w="1045"/>
        <w:gridCol w:w="1748"/>
      </w:tblGrid>
      <w:tr w:rsidR="00D828C9" w:rsidRPr="0021250A" w14:paraId="3F17E937" w14:textId="77777777">
        <w:trPr>
          <w:tblHeader/>
        </w:trPr>
        <w:tc>
          <w:tcPr>
            <w:tcW w:w="170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0978D40A" w14:textId="77777777" w:rsidR="00D828C9" w:rsidRPr="0021250A" w:rsidRDefault="00FF3273">
            <w:pPr>
              <w:jc w:val="center"/>
              <w:rPr>
                <w:color w:val="000000" w:themeColor="text1"/>
              </w:rPr>
            </w:pPr>
            <w:r>
              <w:rPr>
                <w:b/>
                <w:bCs/>
                <w:color w:val="000000" w:themeColor="text1"/>
                <w:sz w:val="16"/>
                <w:szCs w:val="16"/>
              </w:rPr>
              <w:t>Technology</w:t>
            </w:r>
          </w:p>
        </w:tc>
        <w:tc>
          <w:tcPr>
            <w:tcW w:w="88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7B6B2CEA" w14:textId="77777777" w:rsidR="00D828C9" w:rsidRPr="0021250A" w:rsidRDefault="00FF3273">
            <w:pPr>
              <w:jc w:val="center"/>
              <w:rPr>
                <w:color w:val="000000" w:themeColor="text1"/>
              </w:rPr>
            </w:pPr>
            <w:r>
              <w:rPr>
                <w:b/>
                <w:bCs/>
                <w:color w:val="000000" w:themeColor="text1"/>
                <w:sz w:val="16"/>
                <w:szCs w:val="16"/>
              </w:rPr>
              <w:t>Eff. (%)</w:t>
            </w:r>
          </w:p>
        </w:tc>
        <w:tc>
          <w:tcPr>
            <w:tcW w:w="90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59A7106E" w14:textId="77777777" w:rsidR="00D828C9" w:rsidRPr="0021250A" w:rsidRDefault="00FF3273">
            <w:pPr>
              <w:jc w:val="center"/>
              <w:rPr>
                <w:color w:val="000000" w:themeColor="text1"/>
              </w:rPr>
            </w:pPr>
            <w:r>
              <w:rPr>
                <w:b/>
                <w:bCs/>
                <w:color w:val="000000" w:themeColor="text1"/>
                <w:sz w:val="16"/>
                <w:szCs w:val="16"/>
              </w:rPr>
              <w:t>Inv. Cost (USD)</w:t>
            </w:r>
          </w:p>
        </w:tc>
        <w:tc>
          <w:tcPr>
            <w:tcW w:w="90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792E3CE0" w14:textId="77777777" w:rsidR="00D828C9" w:rsidRPr="0021250A" w:rsidRDefault="00FF3273">
            <w:pPr>
              <w:jc w:val="center"/>
              <w:rPr>
                <w:color w:val="000000" w:themeColor="text1"/>
              </w:rPr>
            </w:pPr>
            <w:r>
              <w:rPr>
                <w:b/>
                <w:bCs/>
                <w:color w:val="000000" w:themeColor="text1"/>
                <w:sz w:val="16"/>
                <w:szCs w:val="16"/>
              </w:rPr>
              <w:t>Tech Life (yr)</w:t>
            </w:r>
          </w:p>
        </w:tc>
        <w:tc>
          <w:tcPr>
            <w:tcW w:w="90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7DE2534F" w14:textId="77777777" w:rsidR="00D828C9" w:rsidRPr="0021250A" w:rsidRDefault="00FF3273">
            <w:pPr>
              <w:jc w:val="center"/>
              <w:rPr>
                <w:color w:val="000000" w:themeColor="text1"/>
              </w:rPr>
            </w:pPr>
            <w:r>
              <w:rPr>
                <w:b/>
                <w:bCs/>
                <w:color w:val="000000" w:themeColor="text1"/>
                <w:sz w:val="16"/>
                <w:szCs w:val="16"/>
              </w:rPr>
              <w:t>PM2.5 (µg/m³)</w:t>
            </w:r>
          </w:p>
        </w:tc>
        <w:tc>
          <w:tcPr>
            <w:tcW w:w="90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6EA2FA4D" w14:textId="77777777" w:rsidR="00D828C9" w:rsidRPr="0021250A" w:rsidRDefault="00FF3273">
            <w:pPr>
              <w:jc w:val="center"/>
              <w:rPr>
                <w:color w:val="000000" w:themeColor="text1"/>
              </w:rPr>
            </w:pPr>
            <w:r>
              <w:rPr>
                <w:b/>
                <w:bCs/>
                <w:color w:val="000000" w:themeColor="text1"/>
                <w:sz w:val="16"/>
                <w:szCs w:val="16"/>
              </w:rPr>
              <w:t>CO₂ (kg/GJ)</w:t>
            </w:r>
          </w:p>
        </w:tc>
        <w:tc>
          <w:tcPr>
            <w:tcW w:w="880"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7D695EDE" w14:textId="77777777" w:rsidR="00D828C9" w:rsidRPr="0021250A" w:rsidRDefault="00FF3273">
            <w:pPr>
              <w:jc w:val="center"/>
              <w:rPr>
                <w:color w:val="000000" w:themeColor="text1"/>
              </w:rPr>
            </w:pPr>
            <w:r>
              <w:rPr>
                <w:b/>
                <w:bCs/>
                <w:color w:val="000000" w:themeColor="text1"/>
                <w:sz w:val="16"/>
                <w:szCs w:val="16"/>
              </w:rPr>
              <w:t>Fuel Cost (USD/unit)</w:t>
            </w:r>
          </w:p>
        </w:tc>
        <w:tc>
          <w:tcPr>
            <w:tcW w:w="1578" w:type="dxa"/>
            <w:tcBorders>
              <w:top w:val="single" w:sz="1" w:space="0" w:color="CCCCCC"/>
              <w:left w:val="single" w:sz="1" w:space="0" w:color="CCCCCC"/>
              <w:bottom w:val="single" w:sz="1" w:space="0" w:color="CCCCCC"/>
              <w:right w:val="single" w:sz="1" w:space="0" w:color="CCCCCC"/>
            </w:tcBorders>
            <w:shd w:val="clear" w:color="auto" w:fill="2E75B6"/>
            <w:tcMar>
              <w:top w:w="60" w:type="dxa"/>
              <w:left w:w="80" w:type="dxa"/>
              <w:bottom w:w="60" w:type="dxa"/>
              <w:right w:w="80" w:type="dxa"/>
            </w:tcMar>
          </w:tcPr>
          <w:p w14:paraId="4E697770" w14:textId="77777777" w:rsidR="00D828C9" w:rsidRPr="0021250A" w:rsidRDefault="00FF3273">
            <w:pPr>
              <w:jc w:val="center"/>
              <w:rPr>
                <w:color w:val="000000" w:themeColor="text1"/>
              </w:rPr>
            </w:pPr>
            <w:r>
              <w:rPr>
                <w:b/>
                <w:bCs/>
                <w:color w:val="000000" w:themeColor="text1"/>
                <w:sz w:val="16"/>
                <w:szCs w:val="16"/>
              </w:rPr>
              <w:t>Source</w:t>
            </w:r>
          </w:p>
        </w:tc>
      </w:tr>
      <w:tr w:rsidR="00D828C9" w:rsidRPr="0021250A" w14:paraId="3B4B41C2" w14:textId="77777777">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35AC18B" w14:textId="77777777" w:rsidR="00D828C9" w:rsidRPr="0021250A" w:rsidRDefault="00FF3273">
            <w:pPr>
              <w:jc w:val="center"/>
              <w:rPr>
                <w:color w:val="000000" w:themeColor="text1"/>
              </w:rPr>
            </w:pPr>
            <w:r>
              <w:rPr>
                <w:color w:val="000000" w:themeColor="text1"/>
                <w:sz w:val="16"/>
                <w:szCs w:val="16"/>
              </w:rPr>
              <w:t>Tripod stove</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BBFADD1" w14:textId="77777777" w:rsidR="00D828C9" w:rsidRPr="0021250A" w:rsidRDefault="00FF3273">
            <w:pPr>
              <w:jc w:val="center"/>
              <w:rPr>
                <w:color w:val="000000" w:themeColor="text1"/>
              </w:rPr>
            </w:pPr>
            <w:r>
              <w:rPr>
                <w:color w:val="000000" w:themeColor="text1"/>
                <w:sz w:val="16"/>
                <w:szCs w:val="16"/>
              </w:rPr>
              <w:t>12</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37BE6DF" w14:textId="77777777" w:rsidR="00D828C9" w:rsidRPr="0021250A" w:rsidRDefault="00FF3273">
            <w:pPr>
              <w:jc w:val="center"/>
              <w:rPr>
                <w:color w:val="000000" w:themeColor="text1"/>
              </w:rPr>
            </w:pPr>
            <w:r>
              <w:rPr>
                <w:color w:val="000000" w:themeColor="text1"/>
                <w:sz w:val="16"/>
                <w:szCs w:val="16"/>
              </w:rPr>
              <w:t>1.00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354B879" w14:textId="77777777" w:rsidR="00D828C9" w:rsidRPr="0021250A" w:rsidRDefault="00FF3273">
            <w:pPr>
              <w:jc w:val="center"/>
              <w:rPr>
                <w:color w:val="000000" w:themeColor="text1"/>
              </w:rPr>
            </w:pPr>
            <w:r>
              <w:rPr>
                <w:color w:val="000000" w:themeColor="text1"/>
                <w:sz w:val="16"/>
                <w:szCs w:val="16"/>
              </w:rPr>
              <w:t>5</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435F464" w14:textId="77777777" w:rsidR="00D828C9" w:rsidRPr="0021250A" w:rsidRDefault="00FF3273">
            <w:pPr>
              <w:jc w:val="center"/>
              <w:rPr>
                <w:color w:val="000000" w:themeColor="text1"/>
              </w:rPr>
            </w:pPr>
            <w:r>
              <w:rPr>
                <w:color w:val="000000" w:themeColor="text1"/>
                <w:sz w:val="16"/>
                <w:szCs w:val="16"/>
              </w:rPr>
              <w:t>656</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4ED7286"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044F627D" w14:textId="77777777" w:rsidR="00D828C9" w:rsidRPr="0021250A" w:rsidRDefault="00FF3273">
            <w:pPr>
              <w:jc w:val="center"/>
              <w:rPr>
                <w:color w:val="000000" w:themeColor="text1"/>
              </w:rPr>
            </w:pPr>
            <w:r>
              <w:rPr>
                <w:color w:val="000000" w:themeColor="text1"/>
                <w:sz w:val="16"/>
                <w:szCs w:val="16"/>
              </w:rPr>
              <w:t>0.02/kg</w:t>
            </w:r>
          </w:p>
        </w:tc>
        <w:tc>
          <w:tcPr>
            <w:tcW w:w="1578"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748206C9" w14:textId="77777777" w:rsidR="00D828C9" w:rsidRPr="0021250A" w:rsidRDefault="00FF3273">
            <w:pPr>
              <w:jc w:val="center"/>
              <w:rPr>
                <w:color w:val="000000" w:themeColor="text1"/>
              </w:rPr>
            </w:pPr>
            <w:r>
              <w:rPr>
                <w:color w:val="000000" w:themeColor="text1"/>
                <w:sz w:val="16"/>
                <w:szCs w:val="16"/>
              </w:rPr>
              <w:t>GACC; IPCC 2006</w:t>
            </w:r>
          </w:p>
        </w:tc>
      </w:tr>
      <w:tr w:rsidR="00D828C9" w:rsidRPr="0021250A" w14:paraId="6F61C1A2" w14:textId="77777777">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51268951" w14:textId="77777777" w:rsidR="00D828C9" w:rsidRPr="0021250A" w:rsidRDefault="00FF3273">
            <w:pPr>
              <w:jc w:val="center"/>
              <w:rPr>
                <w:color w:val="000000" w:themeColor="text1"/>
              </w:rPr>
            </w:pPr>
            <w:proofErr w:type="spellStart"/>
            <w:r>
              <w:rPr>
                <w:color w:val="000000" w:themeColor="text1"/>
                <w:sz w:val="16"/>
                <w:szCs w:val="16"/>
              </w:rPr>
              <w:t>TaoCement</w:t>
            </w:r>
            <w:proofErr w:type="spellEnd"/>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4E6EBA19" w14:textId="77777777" w:rsidR="00D828C9" w:rsidRPr="0021250A" w:rsidRDefault="00FF3273">
            <w:pPr>
              <w:jc w:val="center"/>
              <w:rPr>
                <w:color w:val="000000" w:themeColor="text1"/>
              </w:rPr>
            </w:pPr>
            <w:r>
              <w:rPr>
                <w:color w:val="000000" w:themeColor="text1"/>
                <w:sz w:val="16"/>
                <w:szCs w:val="16"/>
              </w:rPr>
              <w:t>17.5</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8E62A7A" w14:textId="77777777" w:rsidR="00D828C9" w:rsidRPr="0021250A" w:rsidRDefault="00FF3273">
            <w:pPr>
              <w:jc w:val="center"/>
              <w:rPr>
                <w:color w:val="000000" w:themeColor="text1"/>
              </w:rPr>
            </w:pPr>
            <w:r>
              <w:rPr>
                <w:color w:val="000000" w:themeColor="text1"/>
                <w:sz w:val="16"/>
                <w:szCs w:val="16"/>
              </w:rPr>
              <w:t>5.00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0F83230" w14:textId="77777777" w:rsidR="00D828C9" w:rsidRPr="0021250A" w:rsidRDefault="00FF3273">
            <w:pPr>
              <w:jc w:val="center"/>
              <w:rPr>
                <w:color w:val="000000" w:themeColor="text1"/>
              </w:rPr>
            </w:pPr>
            <w:r>
              <w:rPr>
                <w:color w:val="000000" w:themeColor="text1"/>
                <w:sz w:val="16"/>
                <w:szCs w:val="16"/>
              </w:rPr>
              <w:t>3</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4CAA00D4" w14:textId="77777777" w:rsidR="00D828C9" w:rsidRPr="0021250A" w:rsidRDefault="00FF3273">
            <w:pPr>
              <w:jc w:val="center"/>
              <w:rPr>
                <w:color w:val="000000" w:themeColor="text1"/>
              </w:rPr>
            </w:pPr>
            <w:r>
              <w:rPr>
                <w:color w:val="000000" w:themeColor="text1"/>
                <w:sz w:val="16"/>
                <w:szCs w:val="16"/>
              </w:rPr>
              <w:t>656</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30EE90FF"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4B3D4C9F"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9B13C44" w14:textId="77777777" w:rsidR="00D828C9" w:rsidRPr="0021250A" w:rsidRDefault="00FF3273">
            <w:pPr>
              <w:jc w:val="center"/>
              <w:rPr>
                <w:color w:val="000000" w:themeColor="text1"/>
              </w:rPr>
            </w:pPr>
            <w:r>
              <w:rPr>
                <w:color w:val="000000" w:themeColor="text1"/>
                <w:sz w:val="16"/>
                <w:szCs w:val="16"/>
              </w:rPr>
              <w:t>GERES/CTC</w:t>
            </w:r>
          </w:p>
        </w:tc>
      </w:tr>
      <w:tr w:rsidR="00D828C9" w:rsidRPr="0021250A" w14:paraId="720372D4" w14:textId="77777777">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44E6841" w14:textId="77777777" w:rsidR="00D828C9" w:rsidRPr="0021250A" w:rsidRDefault="00FF3273">
            <w:pPr>
              <w:jc w:val="center"/>
              <w:rPr>
                <w:color w:val="000000" w:themeColor="text1"/>
              </w:rPr>
            </w:pPr>
            <w:proofErr w:type="spellStart"/>
            <w:r>
              <w:rPr>
                <w:color w:val="000000" w:themeColor="text1"/>
                <w:sz w:val="16"/>
                <w:szCs w:val="16"/>
              </w:rPr>
              <w:t>TaoDam</w:t>
            </w:r>
            <w:proofErr w:type="spellEnd"/>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F023798" w14:textId="77777777" w:rsidR="00D828C9" w:rsidRPr="0021250A" w:rsidRDefault="00FF3273">
            <w:pPr>
              <w:jc w:val="center"/>
              <w:rPr>
                <w:color w:val="000000" w:themeColor="text1"/>
              </w:rPr>
            </w:pPr>
            <w:r>
              <w:rPr>
                <w:color w:val="000000" w:themeColor="text1"/>
                <w:sz w:val="16"/>
                <w:szCs w:val="16"/>
              </w:rPr>
              <w:t>17.5</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331B7B9D" w14:textId="77777777" w:rsidR="00D828C9" w:rsidRPr="0021250A" w:rsidRDefault="00FF3273">
            <w:pPr>
              <w:jc w:val="center"/>
              <w:rPr>
                <w:color w:val="000000" w:themeColor="text1"/>
              </w:rPr>
            </w:pPr>
            <w:r>
              <w:rPr>
                <w:color w:val="000000" w:themeColor="text1"/>
                <w:sz w:val="16"/>
                <w:szCs w:val="16"/>
              </w:rPr>
              <w:t>2.50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062151F" w14:textId="77777777" w:rsidR="00D828C9" w:rsidRPr="0021250A" w:rsidRDefault="00FF3273">
            <w:pPr>
              <w:jc w:val="center"/>
              <w:rPr>
                <w:color w:val="000000" w:themeColor="text1"/>
              </w:rPr>
            </w:pPr>
            <w:r>
              <w:rPr>
                <w:color w:val="000000" w:themeColor="text1"/>
                <w:sz w:val="16"/>
                <w:szCs w:val="16"/>
              </w:rPr>
              <w:t>2.5</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0DD10CFF" w14:textId="77777777" w:rsidR="00D828C9" w:rsidRPr="0021250A" w:rsidRDefault="00FF3273">
            <w:pPr>
              <w:jc w:val="center"/>
              <w:rPr>
                <w:color w:val="000000" w:themeColor="text1"/>
              </w:rPr>
            </w:pPr>
            <w:r>
              <w:rPr>
                <w:color w:val="000000" w:themeColor="text1"/>
                <w:sz w:val="16"/>
                <w:szCs w:val="16"/>
              </w:rPr>
              <w:t>656</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7EC5819"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30FC792C"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0C14867" w14:textId="77777777" w:rsidR="00D828C9" w:rsidRPr="0021250A" w:rsidRDefault="00FF3273">
            <w:pPr>
              <w:jc w:val="center"/>
              <w:rPr>
                <w:color w:val="000000" w:themeColor="text1"/>
              </w:rPr>
            </w:pPr>
            <w:r>
              <w:rPr>
                <w:color w:val="000000" w:themeColor="text1"/>
                <w:sz w:val="16"/>
                <w:szCs w:val="16"/>
              </w:rPr>
              <w:t>GERES/SNV 2017</w:t>
            </w:r>
          </w:p>
        </w:tc>
      </w:tr>
      <w:tr w:rsidR="00D828C9" w:rsidRPr="0021250A" w14:paraId="291A1C2E" w14:textId="77777777">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9591FF0" w14:textId="77777777" w:rsidR="00D828C9" w:rsidRPr="0021250A" w:rsidRDefault="00FF3273">
            <w:pPr>
              <w:jc w:val="center"/>
              <w:rPr>
                <w:color w:val="000000" w:themeColor="text1"/>
              </w:rPr>
            </w:pPr>
            <w:proofErr w:type="spellStart"/>
            <w:r>
              <w:rPr>
                <w:color w:val="000000" w:themeColor="text1"/>
                <w:sz w:val="16"/>
                <w:szCs w:val="16"/>
              </w:rPr>
              <w:lastRenderedPageBreak/>
              <w:t>TaoPayat</w:t>
            </w:r>
            <w:proofErr w:type="spellEnd"/>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3B2AE379" w14:textId="77777777" w:rsidR="00D828C9" w:rsidRPr="0021250A" w:rsidRDefault="00FF3273">
            <w:pPr>
              <w:jc w:val="center"/>
              <w:rPr>
                <w:color w:val="000000" w:themeColor="text1"/>
              </w:rPr>
            </w:pPr>
            <w:r>
              <w:rPr>
                <w:color w:val="000000" w:themeColor="text1"/>
                <w:sz w:val="16"/>
                <w:szCs w:val="16"/>
              </w:rPr>
              <w:t>17.5</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77657604" w14:textId="77777777" w:rsidR="00D828C9" w:rsidRPr="0021250A" w:rsidRDefault="00FF3273">
            <w:pPr>
              <w:jc w:val="center"/>
              <w:rPr>
                <w:color w:val="000000" w:themeColor="text1"/>
              </w:rPr>
            </w:pPr>
            <w:r>
              <w:rPr>
                <w:color w:val="000000" w:themeColor="text1"/>
                <w:sz w:val="16"/>
                <w:szCs w:val="16"/>
              </w:rPr>
              <w:t>5.00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A6D6839" w14:textId="77777777" w:rsidR="00D828C9" w:rsidRPr="0021250A" w:rsidRDefault="00FF3273">
            <w:pPr>
              <w:jc w:val="center"/>
              <w:rPr>
                <w:color w:val="000000" w:themeColor="text1"/>
              </w:rPr>
            </w:pPr>
            <w:r>
              <w:rPr>
                <w:color w:val="000000" w:themeColor="text1"/>
                <w:sz w:val="16"/>
                <w:szCs w:val="16"/>
              </w:rPr>
              <w:t>2.5</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2244146C" w14:textId="77777777" w:rsidR="00D828C9" w:rsidRPr="0021250A" w:rsidRDefault="00FF3273">
            <w:pPr>
              <w:jc w:val="center"/>
              <w:rPr>
                <w:color w:val="000000" w:themeColor="text1"/>
              </w:rPr>
            </w:pPr>
            <w:r>
              <w:rPr>
                <w:color w:val="000000" w:themeColor="text1"/>
                <w:sz w:val="16"/>
                <w:szCs w:val="16"/>
              </w:rPr>
              <w:t>656</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28D0322D"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5621B200"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65B6990B" w14:textId="77777777" w:rsidR="00D828C9" w:rsidRPr="0021250A" w:rsidRDefault="00FF3273">
            <w:pPr>
              <w:jc w:val="center"/>
              <w:rPr>
                <w:color w:val="000000" w:themeColor="text1"/>
              </w:rPr>
            </w:pPr>
            <w:r>
              <w:rPr>
                <w:color w:val="000000" w:themeColor="text1"/>
                <w:sz w:val="16"/>
                <w:szCs w:val="16"/>
              </w:rPr>
              <w:t>GERES/SNV 2017</w:t>
            </w:r>
          </w:p>
        </w:tc>
      </w:tr>
      <w:tr w:rsidR="00D828C9" w:rsidRPr="0021250A" w14:paraId="28B0AF21" w14:textId="77777777">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9B7DABD" w14:textId="77777777" w:rsidR="00D828C9" w:rsidRPr="0021250A" w:rsidRDefault="00FF3273">
            <w:pPr>
              <w:jc w:val="center"/>
              <w:rPr>
                <w:color w:val="000000" w:themeColor="text1"/>
              </w:rPr>
            </w:pPr>
            <w:r>
              <w:rPr>
                <w:color w:val="000000" w:themeColor="text1"/>
                <w:sz w:val="16"/>
                <w:szCs w:val="16"/>
              </w:rPr>
              <w:t>ICS WS-3</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D4F702F" w14:textId="77777777" w:rsidR="00D828C9" w:rsidRPr="0021250A" w:rsidRDefault="00FF3273">
            <w:pPr>
              <w:jc w:val="center"/>
              <w:rPr>
                <w:color w:val="000000" w:themeColor="text1"/>
              </w:rPr>
            </w:pPr>
            <w:r>
              <w:rPr>
                <w:color w:val="000000" w:themeColor="text1"/>
                <w:sz w:val="16"/>
                <w:szCs w:val="16"/>
              </w:rPr>
              <w:t>30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7B8F87A6" w14:textId="77777777" w:rsidR="00D828C9" w:rsidRPr="0021250A" w:rsidRDefault="00FF3273">
            <w:pPr>
              <w:jc w:val="center"/>
              <w:rPr>
                <w:color w:val="000000" w:themeColor="text1"/>
              </w:rPr>
            </w:pPr>
            <w:r>
              <w:rPr>
                <w:color w:val="000000" w:themeColor="text1"/>
                <w:sz w:val="16"/>
                <w:szCs w:val="16"/>
              </w:rPr>
              <w:t>22.50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C53DD92" w14:textId="77777777" w:rsidR="00D828C9" w:rsidRPr="0021250A" w:rsidRDefault="00FF3273">
            <w:pPr>
              <w:jc w:val="center"/>
              <w:rPr>
                <w:color w:val="000000" w:themeColor="text1"/>
              </w:rPr>
            </w:pPr>
            <w:r>
              <w:rPr>
                <w:color w:val="000000" w:themeColor="text1"/>
                <w:sz w:val="16"/>
                <w:szCs w:val="16"/>
              </w:rPr>
              <w:t>2</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8680407" w14:textId="77777777" w:rsidR="00D828C9" w:rsidRPr="0021250A" w:rsidRDefault="00FF3273">
            <w:pPr>
              <w:jc w:val="center"/>
              <w:rPr>
                <w:color w:val="000000" w:themeColor="text1"/>
              </w:rPr>
            </w:pPr>
            <w:r>
              <w:rPr>
                <w:color w:val="000000" w:themeColor="text1"/>
                <w:sz w:val="16"/>
                <w:szCs w:val="16"/>
              </w:rPr>
              <w:t>361</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596F6026"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0C88951"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4848B766" w14:textId="77777777" w:rsidR="00D828C9" w:rsidRPr="0021250A" w:rsidRDefault="00FF3273">
            <w:pPr>
              <w:jc w:val="center"/>
              <w:rPr>
                <w:color w:val="000000" w:themeColor="text1"/>
              </w:rPr>
            </w:pPr>
            <w:r>
              <w:rPr>
                <w:color w:val="000000" w:themeColor="text1"/>
                <w:sz w:val="16"/>
                <w:szCs w:val="16"/>
              </w:rPr>
              <w:t>GERES/SNV</w:t>
            </w:r>
          </w:p>
        </w:tc>
      </w:tr>
      <w:tr w:rsidR="00D828C9" w:rsidRPr="0021250A" w14:paraId="59CCF234" w14:textId="77777777">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1D3B4E1F" w14:textId="77777777" w:rsidR="00D828C9" w:rsidRPr="0021250A" w:rsidRDefault="00FF3273">
            <w:pPr>
              <w:jc w:val="center"/>
              <w:rPr>
                <w:color w:val="000000" w:themeColor="text1"/>
              </w:rPr>
            </w:pPr>
            <w:r>
              <w:rPr>
                <w:color w:val="000000" w:themeColor="text1"/>
                <w:sz w:val="16"/>
                <w:szCs w:val="16"/>
              </w:rPr>
              <w:t>ICS PPT-3</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730B988" w14:textId="77777777" w:rsidR="00D828C9" w:rsidRPr="0021250A" w:rsidRDefault="00FF3273">
            <w:pPr>
              <w:jc w:val="center"/>
              <w:rPr>
                <w:color w:val="000000" w:themeColor="text1"/>
              </w:rPr>
            </w:pPr>
            <w:r>
              <w:rPr>
                <w:color w:val="000000" w:themeColor="text1"/>
                <w:sz w:val="16"/>
                <w:szCs w:val="16"/>
              </w:rPr>
              <w:t>30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734A47B5" w14:textId="77777777" w:rsidR="00D828C9" w:rsidRPr="0021250A" w:rsidRDefault="00FF3273">
            <w:pPr>
              <w:jc w:val="center"/>
              <w:rPr>
                <w:color w:val="000000" w:themeColor="text1"/>
              </w:rPr>
            </w:pPr>
            <w:r>
              <w:rPr>
                <w:color w:val="000000" w:themeColor="text1"/>
                <w:sz w:val="16"/>
                <w:szCs w:val="16"/>
              </w:rPr>
              <w:t>47.00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03ADD887" w14:textId="77777777" w:rsidR="00D828C9" w:rsidRPr="0021250A" w:rsidRDefault="00FF3273">
            <w:pPr>
              <w:jc w:val="center"/>
              <w:rPr>
                <w:color w:val="000000" w:themeColor="text1"/>
              </w:rPr>
            </w:pPr>
            <w:r>
              <w:rPr>
                <w:color w:val="000000" w:themeColor="text1"/>
                <w:sz w:val="16"/>
                <w:szCs w:val="16"/>
              </w:rPr>
              <w:t>2</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3F586A91" w14:textId="77777777" w:rsidR="00D828C9" w:rsidRPr="0021250A" w:rsidRDefault="00FF3273">
            <w:pPr>
              <w:jc w:val="center"/>
              <w:rPr>
                <w:color w:val="000000" w:themeColor="text1"/>
              </w:rPr>
            </w:pPr>
            <w:r>
              <w:rPr>
                <w:color w:val="000000" w:themeColor="text1"/>
                <w:sz w:val="16"/>
                <w:szCs w:val="16"/>
              </w:rPr>
              <w:t>308</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3DFD0701" w14:textId="77777777" w:rsidR="00D828C9" w:rsidRPr="0021250A" w:rsidRDefault="00FF3273">
            <w:pPr>
              <w:jc w:val="center"/>
              <w:rPr>
                <w:color w:val="000000" w:themeColor="text1"/>
              </w:rPr>
            </w:pPr>
            <w:r>
              <w:rPr>
                <w:color w:val="000000" w:themeColor="text1"/>
                <w:sz w:val="16"/>
                <w:szCs w:val="16"/>
              </w:rPr>
              <w:t>112</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2F029266"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10B70F27" w14:textId="77777777" w:rsidR="00D828C9" w:rsidRPr="0021250A" w:rsidRDefault="00FF3273">
            <w:pPr>
              <w:jc w:val="center"/>
              <w:rPr>
                <w:color w:val="000000" w:themeColor="text1"/>
              </w:rPr>
            </w:pPr>
            <w:r>
              <w:rPr>
                <w:color w:val="000000" w:themeColor="text1"/>
                <w:sz w:val="16"/>
                <w:szCs w:val="16"/>
              </w:rPr>
              <w:t>GERES/SNV</w:t>
            </w:r>
          </w:p>
        </w:tc>
      </w:tr>
      <w:tr w:rsidR="00D828C9" w:rsidRPr="0021250A" w14:paraId="27BECC11" w14:textId="77777777">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674A715" w14:textId="77777777" w:rsidR="00D828C9" w:rsidRPr="0021250A" w:rsidRDefault="00FF3273">
            <w:pPr>
              <w:jc w:val="center"/>
              <w:rPr>
                <w:color w:val="000000" w:themeColor="text1"/>
              </w:rPr>
            </w:pPr>
            <w:r>
              <w:rPr>
                <w:color w:val="000000" w:themeColor="text1"/>
                <w:sz w:val="16"/>
                <w:szCs w:val="16"/>
              </w:rPr>
              <w:t>LPG</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43AA393" w14:textId="77777777" w:rsidR="00D828C9" w:rsidRPr="0021250A" w:rsidRDefault="00FF3273">
            <w:pPr>
              <w:jc w:val="center"/>
              <w:rPr>
                <w:color w:val="000000" w:themeColor="text1"/>
              </w:rPr>
            </w:pPr>
            <w:r>
              <w:rPr>
                <w:color w:val="000000" w:themeColor="text1"/>
                <w:sz w:val="16"/>
                <w:szCs w:val="16"/>
              </w:rPr>
              <w:t>60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38A21B2A" w14:textId="77777777" w:rsidR="00D828C9" w:rsidRPr="0021250A" w:rsidRDefault="00FF3273">
            <w:pPr>
              <w:jc w:val="center"/>
              <w:rPr>
                <w:color w:val="000000" w:themeColor="text1"/>
              </w:rPr>
            </w:pPr>
            <w:r>
              <w:rPr>
                <w:color w:val="000000" w:themeColor="text1"/>
                <w:sz w:val="16"/>
                <w:szCs w:val="16"/>
              </w:rPr>
              <w:t>80.00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3DF8EF27" w14:textId="77777777" w:rsidR="00D828C9" w:rsidRPr="0021250A" w:rsidRDefault="00FF3273">
            <w:pPr>
              <w:jc w:val="center"/>
              <w:rPr>
                <w:color w:val="000000" w:themeColor="text1"/>
              </w:rPr>
            </w:pPr>
            <w:r>
              <w:rPr>
                <w:color w:val="000000" w:themeColor="text1"/>
                <w:sz w:val="16"/>
                <w:szCs w:val="16"/>
              </w:rPr>
              <w:t>10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1FB7D4B" w14:textId="77777777" w:rsidR="00D828C9" w:rsidRPr="0021250A" w:rsidRDefault="00FF3273">
            <w:pPr>
              <w:jc w:val="center"/>
              <w:rPr>
                <w:color w:val="000000" w:themeColor="text1"/>
              </w:rPr>
            </w:pPr>
            <w:r>
              <w:rPr>
                <w:color w:val="000000" w:themeColor="text1"/>
                <w:sz w:val="16"/>
                <w:szCs w:val="16"/>
              </w:rPr>
              <w:t>110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78025CB7" w14:textId="77777777" w:rsidR="00D828C9" w:rsidRPr="0021250A" w:rsidRDefault="00FF3273">
            <w:pPr>
              <w:jc w:val="center"/>
              <w:rPr>
                <w:color w:val="000000" w:themeColor="text1"/>
              </w:rPr>
            </w:pPr>
            <w:r>
              <w:rPr>
                <w:color w:val="000000" w:themeColor="text1"/>
                <w:sz w:val="16"/>
                <w:szCs w:val="16"/>
              </w:rPr>
              <w:t>63</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0DABDAB6" w14:textId="77777777" w:rsidR="00D828C9" w:rsidRPr="0021250A" w:rsidRDefault="00FF3273">
            <w:pPr>
              <w:jc w:val="center"/>
              <w:rPr>
                <w:color w:val="000000" w:themeColor="text1"/>
              </w:rPr>
            </w:pPr>
            <w:r>
              <w:rPr>
                <w:color w:val="000000" w:themeColor="text1"/>
                <w:sz w:val="16"/>
                <w:szCs w:val="16"/>
              </w:rPr>
              <w:t>1.65/kg</w:t>
            </w:r>
          </w:p>
        </w:tc>
        <w:tc>
          <w:tcPr>
            <w:tcW w:w="1578"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14F21FE8" w14:textId="77777777" w:rsidR="00D828C9" w:rsidRPr="0021250A" w:rsidRDefault="00FF3273">
            <w:pPr>
              <w:jc w:val="center"/>
              <w:rPr>
                <w:color w:val="000000" w:themeColor="text1"/>
              </w:rPr>
            </w:pPr>
            <w:r>
              <w:rPr>
                <w:color w:val="000000" w:themeColor="text1"/>
                <w:sz w:val="16"/>
                <w:szCs w:val="16"/>
              </w:rPr>
              <w:t>MIC Lao 2024</w:t>
            </w:r>
          </w:p>
        </w:tc>
      </w:tr>
      <w:tr w:rsidR="00D828C9" w:rsidRPr="0021250A" w14:paraId="42B47A21" w14:textId="77777777">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5DA77846" w14:textId="77777777" w:rsidR="00D828C9" w:rsidRPr="0021250A" w:rsidRDefault="00FF3273">
            <w:pPr>
              <w:jc w:val="center"/>
              <w:rPr>
                <w:color w:val="000000" w:themeColor="text1"/>
              </w:rPr>
            </w:pPr>
            <w:r>
              <w:rPr>
                <w:color w:val="000000" w:themeColor="text1"/>
                <w:sz w:val="16"/>
                <w:szCs w:val="16"/>
              </w:rPr>
              <w:t>Electricity</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7CBDF5EF" w14:textId="77777777" w:rsidR="00D828C9" w:rsidRPr="0021250A" w:rsidRDefault="00FF3273">
            <w:pPr>
              <w:jc w:val="center"/>
              <w:rPr>
                <w:color w:val="000000" w:themeColor="text1"/>
              </w:rPr>
            </w:pPr>
            <w:r>
              <w:rPr>
                <w:color w:val="000000" w:themeColor="text1"/>
                <w:sz w:val="16"/>
                <w:szCs w:val="16"/>
              </w:rPr>
              <w:t>85</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1E90D03B" w14:textId="77777777" w:rsidR="00D828C9" w:rsidRPr="0021250A" w:rsidRDefault="00FF3273">
            <w:pPr>
              <w:jc w:val="center"/>
              <w:rPr>
                <w:color w:val="000000" w:themeColor="text1"/>
              </w:rPr>
            </w:pPr>
            <w:r>
              <w:rPr>
                <w:color w:val="000000" w:themeColor="text1"/>
                <w:sz w:val="16"/>
                <w:szCs w:val="16"/>
              </w:rPr>
              <w:t>55.00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34912B65" w14:textId="77777777" w:rsidR="00D828C9" w:rsidRPr="0021250A" w:rsidRDefault="00FF3273">
            <w:pPr>
              <w:jc w:val="center"/>
              <w:rPr>
                <w:color w:val="000000" w:themeColor="text1"/>
              </w:rPr>
            </w:pPr>
            <w:r>
              <w:rPr>
                <w:color w:val="000000" w:themeColor="text1"/>
                <w:sz w:val="16"/>
                <w:szCs w:val="16"/>
              </w:rPr>
              <w:t>5</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403A91DD" w14:textId="77777777" w:rsidR="00D828C9" w:rsidRPr="0021250A" w:rsidRDefault="00FF3273">
            <w:pPr>
              <w:jc w:val="center"/>
              <w:rPr>
                <w:color w:val="000000" w:themeColor="text1"/>
              </w:rPr>
            </w:pPr>
            <w:r>
              <w:rPr>
                <w:color w:val="000000" w:themeColor="text1"/>
                <w:sz w:val="16"/>
                <w:szCs w:val="16"/>
              </w:rPr>
              <w:t>80</w:t>
            </w:r>
          </w:p>
        </w:tc>
        <w:tc>
          <w:tcPr>
            <w:tcW w:w="90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21FAB2C3" w14:textId="77777777" w:rsidR="00D828C9" w:rsidRPr="0021250A" w:rsidRDefault="00FF3273">
            <w:pPr>
              <w:jc w:val="center"/>
              <w:rPr>
                <w:color w:val="000000" w:themeColor="text1"/>
              </w:rPr>
            </w:pPr>
            <w:r>
              <w:rPr>
                <w:color w:val="000000" w:themeColor="text1"/>
                <w:sz w:val="16"/>
                <w:szCs w:val="16"/>
              </w:rPr>
              <w:t>0.0*</w:t>
            </w:r>
          </w:p>
        </w:tc>
        <w:tc>
          <w:tcPr>
            <w:tcW w:w="880"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29A8B6C3" w14:textId="77777777" w:rsidR="00D828C9" w:rsidRPr="0021250A" w:rsidRDefault="00FF3273">
            <w:pPr>
              <w:jc w:val="center"/>
              <w:rPr>
                <w:color w:val="000000" w:themeColor="text1"/>
              </w:rPr>
            </w:pPr>
            <w:r>
              <w:rPr>
                <w:color w:val="000000" w:themeColor="text1"/>
                <w:sz w:val="16"/>
                <w:szCs w:val="16"/>
              </w:rPr>
              <w:t>0.065/kWh</w:t>
            </w:r>
          </w:p>
        </w:tc>
        <w:tc>
          <w:tcPr>
            <w:tcW w:w="1578" w:type="dxa"/>
            <w:tcBorders>
              <w:top w:val="single" w:sz="1" w:space="0" w:color="CCCCCC"/>
              <w:left w:val="single" w:sz="1" w:space="0" w:color="CCCCCC"/>
              <w:bottom w:val="single" w:sz="1" w:space="0" w:color="CCCCCC"/>
              <w:right w:val="single" w:sz="1" w:space="0" w:color="CCCCCC"/>
            </w:tcBorders>
            <w:shd w:val="clear" w:color="auto" w:fill="FFFFFF"/>
            <w:tcMar>
              <w:top w:w="60" w:type="dxa"/>
              <w:left w:w="80" w:type="dxa"/>
              <w:bottom w:w="60" w:type="dxa"/>
              <w:right w:w="80" w:type="dxa"/>
            </w:tcMar>
          </w:tcPr>
          <w:p w14:paraId="48781B19" w14:textId="77777777" w:rsidR="00D828C9" w:rsidRPr="0021250A" w:rsidRDefault="00FF3273">
            <w:pPr>
              <w:jc w:val="center"/>
              <w:rPr>
                <w:color w:val="000000" w:themeColor="text1"/>
              </w:rPr>
            </w:pPr>
            <w:r>
              <w:rPr>
                <w:color w:val="000000" w:themeColor="text1"/>
                <w:sz w:val="16"/>
                <w:szCs w:val="16"/>
              </w:rPr>
              <w:t>EDL 2024</w:t>
            </w:r>
          </w:p>
        </w:tc>
      </w:tr>
      <w:tr w:rsidR="00D828C9" w:rsidRPr="0021250A" w14:paraId="68F1F92C" w14:textId="77777777">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0BE1AFB" w14:textId="77777777" w:rsidR="00D828C9" w:rsidRPr="0021250A" w:rsidRDefault="00FF3273">
            <w:pPr>
              <w:jc w:val="center"/>
              <w:rPr>
                <w:color w:val="000000" w:themeColor="text1"/>
              </w:rPr>
            </w:pPr>
            <w:r>
              <w:rPr>
                <w:color w:val="000000" w:themeColor="text1"/>
                <w:sz w:val="16"/>
                <w:szCs w:val="16"/>
              </w:rPr>
              <w:t>Biogas</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381DE49A" w14:textId="77777777" w:rsidR="00D828C9" w:rsidRPr="0021250A" w:rsidRDefault="00FF3273">
            <w:pPr>
              <w:jc w:val="center"/>
              <w:rPr>
                <w:color w:val="000000" w:themeColor="text1"/>
              </w:rPr>
            </w:pPr>
            <w:r>
              <w:rPr>
                <w:color w:val="000000" w:themeColor="text1"/>
                <w:sz w:val="16"/>
                <w:szCs w:val="16"/>
              </w:rPr>
              <w:t>60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DD7C47B" w14:textId="77777777" w:rsidR="00D828C9" w:rsidRPr="0021250A" w:rsidRDefault="00FF3273">
            <w:pPr>
              <w:jc w:val="center"/>
              <w:rPr>
                <w:color w:val="000000" w:themeColor="text1"/>
              </w:rPr>
            </w:pPr>
            <w:r>
              <w:rPr>
                <w:color w:val="000000" w:themeColor="text1"/>
                <w:sz w:val="16"/>
                <w:szCs w:val="16"/>
              </w:rPr>
              <w:t>450.00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0999890A" w14:textId="77777777" w:rsidR="00D828C9" w:rsidRPr="0021250A" w:rsidRDefault="00FF3273">
            <w:pPr>
              <w:jc w:val="center"/>
              <w:rPr>
                <w:color w:val="000000" w:themeColor="text1"/>
              </w:rPr>
            </w:pPr>
            <w:r>
              <w:rPr>
                <w:color w:val="000000" w:themeColor="text1"/>
                <w:sz w:val="16"/>
                <w:szCs w:val="16"/>
              </w:rPr>
              <w:t>15</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622AFCE7" w14:textId="77777777" w:rsidR="00D828C9" w:rsidRPr="0021250A" w:rsidRDefault="00FF3273">
            <w:pPr>
              <w:jc w:val="center"/>
              <w:rPr>
                <w:color w:val="000000" w:themeColor="text1"/>
              </w:rPr>
            </w:pPr>
            <w:r>
              <w:rPr>
                <w:color w:val="000000" w:themeColor="text1"/>
                <w:sz w:val="16"/>
                <w:szCs w:val="16"/>
              </w:rPr>
              <w:t>110</w:t>
            </w:r>
          </w:p>
        </w:tc>
        <w:tc>
          <w:tcPr>
            <w:tcW w:w="90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26351392" w14:textId="77777777" w:rsidR="00D828C9" w:rsidRPr="0021250A" w:rsidRDefault="00FF3273">
            <w:pPr>
              <w:jc w:val="center"/>
              <w:rPr>
                <w:color w:val="000000" w:themeColor="text1"/>
              </w:rPr>
            </w:pPr>
            <w:r>
              <w:rPr>
                <w:color w:val="000000" w:themeColor="text1"/>
                <w:sz w:val="16"/>
                <w:szCs w:val="16"/>
              </w:rPr>
              <w:t>0.0</w:t>
            </w:r>
          </w:p>
        </w:tc>
        <w:tc>
          <w:tcPr>
            <w:tcW w:w="880"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5D3C7FDC" w14:textId="77777777" w:rsidR="00D828C9" w:rsidRPr="0021250A" w:rsidRDefault="00FF3273">
            <w:pPr>
              <w:jc w:val="center"/>
              <w:rPr>
                <w:color w:val="000000" w:themeColor="text1"/>
              </w:rPr>
            </w:pPr>
            <w:r>
              <w:rPr>
                <w:color w:val="000000" w:themeColor="text1"/>
                <w:sz w:val="16"/>
                <w:szCs w:val="16"/>
              </w:rPr>
              <w:t>0.00</w:t>
            </w:r>
          </w:p>
        </w:tc>
        <w:tc>
          <w:tcPr>
            <w:tcW w:w="1578" w:type="dxa"/>
            <w:tcBorders>
              <w:top w:val="single" w:sz="1" w:space="0" w:color="CCCCCC"/>
              <w:left w:val="single" w:sz="1" w:space="0" w:color="CCCCCC"/>
              <w:bottom w:val="single" w:sz="1" w:space="0" w:color="CCCCCC"/>
              <w:right w:val="single" w:sz="1" w:space="0" w:color="CCCCCC"/>
            </w:tcBorders>
            <w:shd w:val="clear" w:color="auto" w:fill="EBF3FB"/>
            <w:tcMar>
              <w:top w:w="60" w:type="dxa"/>
              <w:left w:w="80" w:type="dxa"/>
              <w:bottom w:w="60" w:type="dxa"/>
              <w:right w:w="80" w:type="dxa"/>
            </w:tcMar>
          </w:tcPr>
          <w:p w14:paraId="7502011F" w14:textId="77777777" w:rsidR="00D828C9" w:rsidRPr="0021250A" w:rsidRDefault="00FF3273">
            <w:pPr>
              <w:jc w:val="center"/>
              <w:rPr>
                <w:color w:val="000000" w:themeColor="text1"/>
              </w:rPr>
            </w:pPr>
            <w:r>
              <w:rPr>
                <w:color w:val="000000" w:themeColor="text1"/>
                <w:sz w:val="16"/>
                <w:szCs w:val="16"/>
              </w:rPr>
              <w:t>SNV 2023</w:t>
            </w:r>
          </w:p>
        </w:tc>
      </w:tr>
    </w:tbl>
    <w:p w14:paraId="25F0F104" w14:textId="77777777" w:rsidR="00D828C9" w:rsidRPr="0021250A" w:rsidRDefault="00FF3273">
      <w:pPr>
        <w:spacing w:before="60" w:after="120"/>
        <w:jc w:val="center"/>
        <w:rPr>
          <w:color w:val="000000" w:themeColor="text1"/>
        </w:rPr>
      </w:pPr>
      <w:r>
        <w:rPr>
          <w:i/>
          <w:iCs/>
          <w:color w:val="000000" w:themeColor="text1"/>
          <w:sz w:val="20"/>
          <w:szCs w:val="20"/>
        </w:rPr>
        <w:t>Table 2. Technology parameters from tech_specs_lao.csv. *Electricity CO₂ intensity at point-of-use is zero; upstream grid emissions use Lao PDR generation mix (predominantly hydropower). Eff. = thermal efficiency. PM2.5 = particulate matter 2.5 emission factor. Sources: GERES/SNV Lao PDR ICS Program; IPCC 2006 Guidelines; GAINS Model (IIASA); EDL Residential Tariff 2024; Ministry of Industry and Commerce (MIC) LPG Retail 2024.</w:t>
      </w:r>
    </w:p>
    <w:p w14:paraId="275AECBD" w14:textId="77777777" w:rsidR="00D828C9" w:rsidRPr="0021250A" w:rsidRDefault="00D828C9">
      <w:pPr>
        <w:spacing w:before="40" w:after="40"/>
        <w:rPr>
          <w:color w:val="000000" w:themeColor="text1"/>
        </w:rPr>
      </w:pPr>
    </w:p>
    <w:p w14:paraId="6638D0AC" w14:textId="3F917036" w:rsidR="00D828C9" w:rsidRPr="0021250A" w:rsidRDefault="00FF3273">
      <w:pPr>
        <w:spacing w:before="80" w:after="80"/>
        <w:jc w:val="both"/>
        <w:rPr>
          <w:color w:val="000000" w:themeColor="text1"/>
        </w:rPr>
      </w:pPr>
      <w:r>
        <w:rPr>
          <w:color w:val="000000" w:themeColor="text1"/>
        </w:rPr>
        <w:t>The emission profiles highlight the large gap between traditional and modern technologies. The Tripod stove emits 656 µg/m³ PM2.5 versus 0 µg/m³ for electric cooking — a ratio of more than 650:1. Even intermediate ICS technologies reduce PM2.5 exposure by approximately 45–53% compared to the Tripod. LPG achieves near-zero PM2.5 emissions (1.8 g/GJ) but incurs significant fuel costs, limiting uptake among low-income rural households.</w:t>
      </w:r>
    </w:p>
    <w:p w14:paraId="18321025" w14:textId="498A8FFF" w:rsidR="00D828C9" w:rsidRPr="0021250A" w:rsidRDefault="00FF3273">
      <w:pPr>
        <w:spacing w:before="80" w:after="80"/>
        <w:jc w:val="both"/>
        <w:rPr>
          <w:color w:val="000000" w:themeColor="text1"/>
        </w:rPr>
      </w:pPr>
      <w:r>
        <w:rPr>
          <w:color w:val="000000" w:themeColor="text1"/>
        </w:rPr>
        <w:t>The non-renewable biomass fraction (</w:t>
      </w:r>
      <w:proofErr w:type="spellStart"/>
      <w:r>
        <w:rPr>
          <w:color w:val="000000" w:themeColor="text1"/>
        </w:rPr>
        <w:t>fnrb</w:t>
      </w:r>
      <w:proofErr w:type="spellEnd"/>
      <w:r>
        <w:rPr>
          <w:color w:val="000000" w:themeColor="text1"/>
        </w:rPr>
        <w:t xml:space="preserve">) of 0.15 — calibrated using the UNFCCC CDM TOOL33 methodology — reflects Lao PDR's relatively high forest cover (approximately 57% of land area), meaning that only 15% of biomass collected for cooking is assumed to come from non-renewable sources (i.e., leads to net deforestation). This relatively low </w:t>
      </w:r>
      <w:proofErr w:type="spellStart"/>
      <w:r>
        <w:rPr>
          <w:color w:val="000000" w:themeColor="text1"/>
        </w:rPr>
        <w:t>fnrb</w:t>
      </w:r>
      <w:proofErr w:type="spellEnd"/>
      <w:r>
        <w:rPr>
          <w:color w:val="000000" w:themeColor="text1"/>
        </w:rPr>
        <w:t xml:space="preserve"> reduces the attributable CO₂ emissions from biomass stoves compared with more deforested countries, but does not diminish the health burden, which is driven by combustion particle emissions regardles</w:t>
      </w:r>
      <w:r>
        <w:rPr>
          <w:color w:val="000000" w:themeColor="text1"/>
        </w:rPr>
        <w:t>s of biomass renewability.</w:t>
      </w:r>
    </w:p>
    <w:p w14:paraId="53A2259F" w14:textId="77777777" w:rsidR="00D828C9" w:rsidRPr="0021250A" w:rsidRDefault="00FF3273">
      <w:pPr>
        <w:rPr>
          <w:color w:val="000000" w:themeColor="text1"/>
        </w:rPr>
      </w:pPr>
      <w:r>
        <w:rPr>
          <w:color w:val="000000" w:themeColor="text1"/>
        </w:rPr>
        <w:br w:type="page"/>
      </w:r>
    </w:p>
    <w:p w14:paraId="0E8A17DC" w14:textId="77777777" w:rsidR="00D828C9" w:rsidRPr="0021250A" w:rsidRDefault="00FF3273">
      <w:pPr>
        <w:pStyle w:val="Heading1"/>
        <w:rPr>
          <w:color w:val="000000" w:themeColor="text1"/>
        </w:rPr>
      </w:pPr>
      <w:bookmarkStart w:id="11" w:name="_Toc224609985"/>
      <w:r>
        <w:rPr>
          <w:color w:val="000000" w:themeColor="text1"/>
        </w:rPr>
        <w:lastRenderedPageBreak/>
        <w:t>3. Methodology and Data</w:t>
      </w:r>
      <w:bookmarkEnd w:id="11"/>
    </w:p>
    <w:p w14:paraId="62C21741" w14:textId="77777777" w:rsidR="00D828C9" w:rsidRPr="0021250A" w:rsidRDefault="00FF3273">
      <w:pPr>
        <w:pStyle w:val="Heading2"/>
        <w:rPr>
          <w:color w:val="000000" w:themeColor="text1"/>
        </w:rPr>
      </w:pPr>
      <w:bookmarkStart w:id="12" w:name="_Toc224609986"/>
      <w:r>
        <w:rPr>
          <w:color w:val="000000" w:themeColor="text1"/>
        </w:rPr>
        <w:t xml:space="preserve">3.1 The </w:t>
      </w:r>
      <w:proofErr w:type="spellStart"/>
      <w:r>
        <w:rPr>
          <w:color w:val="000000" w:themeColor="text1"/>
        </w:rPr>
        <w:t>OnStove</w:t>
      </w:r>
      <w:proofErr w:type="spellEnd"/>
      <w:r>
        <w:rPr>
          <w:color w:val="000000" w:themeColor="text1"/>
        </w:rPr>
        <w:t xml:space="preserve"> Modelling Framework</w:t>
      </w:r>
      <w:bookmarkEnd w:id="12"/>
    </w:p>
    <w:p w14:paraId="4B030BA1" w14:textId="334BF7C8" w:rsidR="00D828C9" w:rsidRPr="0021250A" w:rsidRDefault="003152BD">
      <w:pPr>
        <w:spacing w:before="80" w:after="80"/>
        <w:jc w:val="both"/>
        <w:rPr>
          <w:color w:val="000000" w:themeColor="text1"/>
        </w:rPr>
      </w:pPr>
      <w:hyperlink r:id="rId16" w:history="1">
        <w:proofErr w:type="spellStart"/>
        <w:r>
          <w:rPr>
            <w:rStyle w:val="Hyperlink"/>
          </w:rPr>
          <w:t>OnStove</w:t>
        </w:r>
        <w:proofErr w:type="spellEnd"/>
      </w:hyperlink>
      <w:r>
        <w:rPr>
          <w:color w:val="000000" w:themeColor="text1"/>
        </w:rPr>
        <w:t xml:space="preserve"> is a Python-based open-source geospatial model developed by KTH Royal Institute of Technology and published under a permissive </w:t>
      </w:r>
      <w:hyperlink r:id="rId17" w:history="1">
        <w:r>
          <w:rPr>
            <w:rStyle w:val="Hyperlink"/>
          </w:rPr>
          <w:t>open-source license</w:t>
        </w:r>
      </w:hyperlink>
      <w:r>
        <w:rPr>
          <w:color w:val="000000" w:themeColor="text1"/>
        </w:rPr>
        <w:t xml:space="preserve">. The framework operates at the level of population grid cells (typically 100m × 100m resolution) and assigns the most cost-beneficial cooking technology to each cell based on a multi-criteria net-benefit calculation. The net benefit (NB) of transitioning from a baseline technology </w:t>
      </w:r>
      <w:r w:rsidRPr="00C9694D">
        <w:rPr>
          <w:b/>
          <w:bCs/>
          <w:color w:val="000000" w:themeColor="text1"/>
        </w:rPr>
        <w:t>b</w:t>
      </w:r>
      <w:r>
        <w:rPr>
          <w:color w:val="000000" w:themeColor="text1"/>
        </w:rPr>
        <w:t xml:space="preserve"> to a candidate technology </w:t>
      </w:r>
      <w:r w:rsidRPr="00C9694D">
        <w:rPr>
          <w:b/>
          <w:bCs/>
          <w:color w:val="000000" w:themeColor="text1"/>
        </w:rPr>
        <w:t>c</w:t>
      </w:r>
      <w:r>
        <w:rPr>
          <w:color w:val="000000" w:themeColor="text1"/>
        </w:rPr>
        <w:t xml:space="preserve"> is defined as:</w:t>
      </w:r>
    </w:p>
    <w:p w14:paraId="4EE1F25C" w14:textId="77777777" w:rsidR="00D828C9" w:rsidRPr="0021250A" w:rsidRDefault="00D828C9">
      <w:pPr>
        <w:spacing w:before="40" w:after="40"/>
        <w:rPr>
          <w:color w:val="000000" w:themeColor="text1"/>
        </w:rPr>
      </w:pPr>
    </w:p>
    <w:p w14:paraId="4D1B8937" w14:textId="77777777" w:rsidR="00D828C9" w:rsidRPr="00C9694D" w:rsidRDefault="00FF3273">
      <w:pPr>
        <w:spacing w:before="80" w:after="80"/>
        <w:jc w:val="center"/>
        <w:rPr>
          <w:b/>
          <w:bCs/>
          <w:color w:val="000000" w:themeColor="text1"/>
        </w:rPr>
      </w:pPr>
      <w:r w:rsidRPr="00C9694D">
        <w:rPr>
          <w:b/>
          <w:bCs/>
          <w:i/>
          <w:iCs/>
          <w:color w:val="000000" w:themeColor="text1"/>
        </w:rPr>
        <w:t>NB(</w:t>
      </w:r>
      <w:proofErr w:type="spellStart"/>
      <w:r w:rsidRPr="00C9694D">
        <w:rPr>
          <w:b/>
          <w:bCs/>
          <w:i/>
          <w:iCs/>
          <w:color w:val="000000" w:themeColor="text1"/>
        </w:rPr>
        <w:t>b→c</w:t>
      </w:r>
      <w:proofErr w:type="spellEnd"/>
      <w:r w:rsidRPr="00C9694D">
        <w:rPr>
          <w:b/>
          <w:bCs/>
          <w:i/>
          <w:iCs/>
          <w:color w:val="000000" w:themeColor="text1"/>
        </w:rPr>
        <w:t xml:space="preserve">) = </w:t>
      </w:r>
      <w:proofErr w:type="spellStart"/>
      <w:r w:rsidRPr="00C9694D">
        <w:rPr>
          <w:b/>
          <w:bCs/>
          <w:i/>
          <w:iCs/>
          <w:color w:val="000000" w:themeColor="text1"/>
        </w:rPr>
        <w:t>ΔHealth</w:t>
      </w:r>
      <w:proofErr w:type="spellEnd"/>
      <w:r w:rsidRPr="00C9694D">
        <w:rPr>
          <w:b/>
          <w:bCs/>
          <w:i/>
          <w:iCs/>
          <w:color w:val="000000" w:themeColor="text1"/>
        </w:rPr>
        <w:t xml:space="preserve"> Benefits + </w:t>
      </w:r>
      <w:proofErr w:type="spellStart"/>
      <w:r w:rsidRPr="00C9694D">
        <w:rPr>
          <w:b/>
          <w:bCs/>
          <w:i/>
          <w:iCs/>
          <w:color w:val="000000" w:themeColor="text1"/>
        </w:rPr>
        <w:t>ΔTime</w:t>
      </w:r>
      <w:proofErr w:type="spellEnd"/>
      <w:r w:rsidRPr="00C9694D">
        <w:rPr>
          <w:b/>
          <w:bCs/>
          <w:i/>
          <w:iCs/>
          <w:color w:val="000000" w:themeColor="text1"/>
        </w:rPr>
        <w:t xml:space="preserve"> Benefits − ΔCAPEX − ΔOPEX</w:t>
      </w:r>
    </w:p>
    <w:p w14:paraId="346BDBFF" w14:textId="77777777" w:rsidR="00D828C9" w:rsidRPr="0021250A" w:rsidRDefault="00D828C9">
      <w:pPr>
        <w:spacing w:before="40" w:after="40"/>
        <w:rPr>
          <w:color w:val="000000" w:themeColor="text1"/>
        </w:rPr>
      </w:pPr>
    </w:p>
    <w:p w14:paraId="28E39763" w14:textId="63C3154F" w:rsidR="00D828C9" w:rsidRPr="0021250A" w:rsidRDefault="00FF3273">
      <w:pPr>
        <w:spacing w:before="80" w:after="80"/>
        <w:jc w:val="both"/>
        <w:rPr>
          <w:color w:val="000000" w:themeColor="text1"/>
        </w:rPr>
      </w:pPr>
      <w:r>
        <w:rPr>
          <w:color w:val="000000" w:themeColor="text1"/>
        </w:rPr>
        <w:t xml:space="preserve">Where health benefits are </w:t>
      </w:r>
      <w:proofErr w:type="spellStart"/>
      <w:r>
        <w:rPr>
          <w:color w:val="000000" w:themeColor="text1"/>
        </w:rPr>
        <w:t>monetised</w:t>
      </w:r>
      <w:proofErr w:type="spellEnd"/>
      <w:r>
        <w:rPr>
          <w:color w:val="000000" w:themeColor="text1"/>
        </w:rPr>
        <w:t xml:space="preserve"> using the Value of Statistical Life (VSL) methodology, time benefits are calculated from reduced fuel collection time, and costs include both capital expenditures (CAPEX) and annual operating expenditures (OPEX). The model is fully documented at https://onstove-documentation.readthedocs.io/.</w:t>
      </w:r>
    </w:p>
    <w:p w14:paraId="559B2978" w14:textId="22FFCBA5" w:rsidR="00D828C9" w:rsidRPr="0021250A" w:rsidRDefault="00FF3273">
      <w:pPr>
        <w:spacing w:before="80" w:after="80"/>
        <w:jc w:val="both"/>
        <w:rPr>
          <w:color w:val="000000" w:themeColor="text1"/>
        </w:rPr>
      </w:pPr>
      <w:r>
        <w:rPr>
          <w:color w:val="000000" w:themeColor="text1"/>
        </w:rPr>
        <w:t>The core algorithm iterates across all populated grid cells, computing the net benefit of each candidate technology relative to the current baseline stove, and assigns the technology with the highest net benefit. This process is repeated for each projection year, allowing dynamic simulation of technology transitions as household conditions, prices, and population distributions evolve. The simulation is developed using a spatial-dynamic framework to evaluate the socio-economic and environmental impacts of tr</w:t>
      </w:r>
      <w:r>
        <w:rPr>
          <w:color w:val="000000" w:themeColor="text1"/>
        </w:rPr>
        <w:t xml:space="preserve">ansitioning to clean cooking technologies in Laos from 2025 to 2030, leveraging high-resolution spatial data to ensure </w:t>
      </w:r>
      <w:proofErr w:type="spellStart"/>
      <w:r>
        <w:rPr>
          <w:color w:val="000000" w:themeColor="text1"/>
        </w:rPr>
        <w:t>localised</w:t>
      </w:r>
      <w:proofErr w:type="spellEnd"/>
      <w:r>
        <w:rPr>
          <w:color w:val="000000" w:themeColor="text1"/>
        </w:rPr>
        <w:t xml:space="preserve"> accuracy. Unlike traditional administration-based models, this grid-based approach enables granular analysis of household distribution, capturing the nuances of energy access and population density across the diverse terrains of Lao PDR.</w:t>
      </w:r>
    </w:p>
    <w:p w14:paraId="3C92D316" w14:textId="77777777" w:rsidR="00D828C9" w:rsidRPr="0021250A" w:rsidRDefault="00FF3273">
      <w:pPr>
        <w:pStyle w:val="Heading2"/>
        <w:rPr>
          <w:color w:val="000000" w:themeColor="text1"/>
        </w:rPr>
      </w:pPr>
      <w:bookmarkStart w:id="13" w:name="_Toc224609987"/>
      <w:r>
        <w:rPr>
          <w:color w:val="000000" w:themeColor="text1"/>
        </w:rPr>
        <w:t>3.2 Geospatial Data Inputs</w:t>
      </w:r>
      <w:bookmarkEnd w:id="13"/>
    </w:p>
    <w:p w14:paraId="67B8BB72" w14:textId="4A342D3E" w:rsidR="00D828C9" w:rsidRPr="0021250A" w:rsidRDefault="00FF3273">
      <w:pPr>
        <w:spacing w:before="80" w:after="80"/>
        <w:jc w:val="both"/>
        <w:rPr>
          <w:color w:val="000000" w:themeColor="text1"/>
        </w:rPr>
      </w:pPr>
      <w:r>
        <w:rPr>
          <w:color w:val="000000" w:themeColor="text1"/>
        </w:rPr>
        <w:t xml:space="preserve">The </w:t>
      </w:r>
      <w:proofErr w:type="spellStart"/>
      <w:r>
        <w:rPr>
          <w:color w:val="000000" w:themeColor="text1"/>
        </w:rPr>
        <w:t>OnStove</w:t>
      </w:r>
      <w:proofErr w:type="spellEnd"/>
      <w:r>
        <w:rPr>
          <w:color w:val="000000" w:themeColor="text1"/>
        </w:rPr>
        <w:t xml:space="preserve"> model for Laos was built using a multi-layered GIS dataset </w:t>
      </w:r>
      <w:proofErr w:type="spellStart"/>
      <w:r>
        <w:rPr>
          <w:color w:val="000000" w:themeColor="text1"/>
        </w:rPr>
        <w:t>organised</w:t>
      </w:r>
      <w:proofErr w:type="spellEnd"/>
      <w:r>
        <w:rPr>
          <w:color w:val="000000" w:themeColor="text1"/>
        </w:rPr>
        <w:t xml:space="preserve"> into the following categories:</w:t>
      </w:r>
    </w:p>
    <w:p w14:paraId="4141AA7A" w14:textId="77777777" w:rsidR="00D828C9" w:rsidRPr="0021250A" w:rsidRDefault="00FF3273">
      <w:pPr>
        <w:pStyle w:val="Heading3"/>
        <w:rPr>
          <w:color w:val="000000" w:themeColor="text1"/>
        </w:rPr>
      </w:pPr>
      <w:bookmarkStart w:id="14" w:name="_Toc224609988"/>
      <w:r>
        <w:rPr>
          <w:color w:val="000000" w:themeColor="text1"/>
        </w:rPr>
        <w:t>3.2.1 Administrative Boundaries</w:t>
      </w:r>
      <w:bookmarkEnd w:id="14"/>
    </w:p>
    <w:p w14:paraId="0F35F4B9" w14:textId="77777777" w:rsidR="00D828C9" w:rsidRPr="0021250A" w:rsidRDefault="00FF3273">
      <w:pPr>
        <w:spacing w:before="80" w:after="80"/>
        <w:jc w:val="both"/>
        <w:rPr>
          <w:color w:val="000000" w:themeColor="text1"/>
        </w:rPr>
      </w:pPr>
      <w:r>
        <w:rPr>
          <w:color w:val="000000" w:themeColor="text1"/>
        </w:rPr>
        <w:t xml:space="preserve">National boundaries for Lao PDR were sourced from a validated </w:t>
      </w:r>
      <w:proofErr w:type="spellStart"/>
      <w:r>
        <w:rPr>
          <w:color w:val="000000" w:themeColor="text1"/>
        </w:rPr>
        <w:t>GeoJSON</w:t>
      </w:r>
      <w:proofErr w:type="spellEnd"/>
      <w:r>
        <w:rPr>
          <w:color w:val="000000" w:themeColor="text1"/>
        </w:rPr>
        <w:t xml:space="preserve"> file (</w:t>
      </w:r>
      <w:proofErr w:type="spellStart"/>
      <w:r>
        <w:rPr>
          <w:color w:val="000000" w:themeColor="text1"/>
        </w:rPr>
        <w:t>Laos_Boundary.geojson</w:t>
      </w:r>
      <w:proofErr w:type="spellEnd"/>
      <w:r>
        <w:rPr>
          <w:color w:val="000000" w:themeColor="text1"/>
        </w:rPr>
        <w:t>) aligned with the World Bank administrative boundary dataset.</w:t>
      </w:r>
    </w:p>
    <w:p w14:paraId="23FA0DFD" w14:textId="77777777" w:rsidR="00D828C9" w:rsidRPr="0021250A" w:rsidRDefault="00FF3273">
      <w:pPr>
        <w:pStyle w:val="Heading3"/>
        <w:rPr>
          <w:color w:val="000000" w:themeColor="text1"/>
        </w:rPr>
      </w:pPr>
      <w:bookmarkStart w:id="15" w:name="_Toc224609989"/>
      <w:r>
        <w:rPr>
          <w:color w:val="000000" w:themeColor="text1"/>
        </w:rPr>
        <w:t>3.2.2 Population Data</w:t>
      </w:r>
      <w:bookmarkEnd w:id="15"/>
    </w:p>
    <w:p w14:paraId="4AF75FE7" w14:textId="4EB8751F" w:rsidR="00D828C9" w:rsidRPr="0021250A" w:rsidRDefault="00FF3273">
      <w:pPr>
        <w:spacing w:before="80" w:after="80"/>
        <w:jc w:val="both"/>
        <w:rPr>
          <w:color w:val="000000" w:themeColor="text1"/>
        </w:rPr>
      </w:pPr>
      <w:r>
        <w:rPr>
          <w:color w:val="000000" w:themeColor="text1"/>
        </w:rPr>
        <w:t xml:space="preserve">High-resolution population distribution was derived from the </w:t>
      </w:r>
      <w:proofErr w:type="spellStart"/>
      <w:r>
        <w:rPr>
          <w:color w:val="000000" w:themeColor="text1"/>
        </w:rPr>
        <w:t>WorldPop</w:t>
      </w:r>
      <w:proofErr w:type="spellEnd"/>
      <w:r>
        <w:rPr>
          <w:color w:val="000000" w:themeColor="text1"/>
        </w:rPr>
        <w:t xml:space="preserve"> gridded dataset (</w:t>
      </w:r>
      <w:proofErr w:type="spellStart"/>
      <w:r>
        <w:rPr>
          <w:color w:val="000000" w:themeColor="text1"/>
        </w:rPr>
        <w:t>Population.tif</w:t>
      </w:r>
      <w:proofErr w:type="spellEnd"/>
      <w:r>
        <w:rPr>
          <w:color w:val="000000" w:themeColor="text1"/>
        </w:rPr>
        <w:t>) at 100m resolution, providing household-level spatial resolution across the country. The dataset was reprojected to WGS84 and resampled to match the analysis grid. The total national population was approximately 7.4 million people (</w:t>
      </w:r>
      <w:proofErr w:type="spellStart"/>
      <w:r>
        <w:rPr>
          <w:color w:val="000000" w:themeColor="text1"/>
        </w:rPr>
        <w:t>WorldPop</w:t>
      </w:r>
      <w:proofErr w:type="spellEnd"/>
      <w:r>
        <w:rPr>
          <w:color w:val="000000" w:themeColor="text1"/>
        </w:rPr>
        <w:t>, 2020).</w:t>
      </w:r>
    </w:p>
    <w:p w14:paraId="0F26F537" w14:textId="77777777" w:rsidR="00D828C9" w:rsidRPr="0021250A" w:rsidRDefault="00FF3273">
      <w:pPr>
        <w:pStyle w:val="Heading3"/>
        <w:rPr>
          <w:color w:val="000000" w:themeColor="text1"/>
        </w:rPr>
      </w:pPr>
      <w:bookmarkStart w:id="16" w:name="_Toc224609990"/>
      <w:r>
        <w:rPr>
          <w:color w:val="000000" w:themeColor="text1"/>
        </w:rPr>
        <w:t>3.2.3 Electricity Infrastructure</w:t>
      </w:r>
      <w:bookmarkEnd w:id="16"/>
    </w:p>
    <w:p w14:paraId="6499FFB7" w14:textId="77777777" w:rsidR="00D828C9" w:rsidRPr="0021250A" w:rsidRDefault="00FF3273">
      <w:pPr>
        <w:spacing w:before="80" w:after="80"/>
        <w:jc w:val="both"/>
        <w:rPr>
          <w:color w:val="000000" w:themeColor="text1"/>
        </w:rPr>
      </w:pPr>
      <w:r>
        <w:rPr>
          <w:color w:val="000000" w:themeColor="text1"/>
        </w:rPr>
        <w:t>Electricity access data were derived from two sources: (</w:t>
      </w:r>
      <w:proofErr w:type="spellStart"/>
      <w:r>
        <w:rPr>
          <w:color w:val="000000" w:themeColor="text1"/>
        </w:rPr>
        <w:t>i</w:t>
      </w:r>
      <w:proofErr w:type="spellEnd"/>
      <w:r>
        <w:rPr>
          <w:color w:val="000000" w:themeColor="text1"/>
        </w:rPr>
        <w:t>) medium-voltage (MV) transmission line routing (</w:t>
      </w:r>
      <w:proofErr w:type="spellStart"/>
      <w:r>
        <w:rPr>
          <w:color w:val="000000" w:themeColor="text1"/>
        </w:rPr>
        <w:t>MV_lines.geojson</w:t>
      </w:r>
      <w:proofErr w:type="spellEnd"/>
      <w:r>
        <w:rPr>
          <w:color w:val="000000" w:themeColor="text1"/>
        </w:rPr>
        <w:t>) from the Lao PDR Department of Energy Business; and (ii) night-time light intensity raster data (</w:t>
      </w:r>
      <w:proofErr w:type="spellStart"/>
      <w:r>
        <w:rPr>
          <w:color w:val="000000" w:themeColor="text1"/>
        </w:rPr>
        <w:t>Night_time_lights.tif</w:t>
      </w:r>
      <w:proofErr w:type="spellEnd"/>
      <w:r>
        <w:rPr>
          <w:color w:val="000000" w:themeColor="text1"/>
        </w:rPr>
        <w:t>) from the VIIRS Day/Night Band composite, used as a proxy for electricity access probability in peri-urban and rural areas.</w:t>
      </w:r>
    </w:p>
    <w:p w14:paraId="02F40D4A" w14:textId="77777777" w:rsidR="00D828C9" w:rsidRPr="0021250A" w:rsidRDefault="00FF3273">
      <w:pPr>
        <w:pStyle w:val="Heading3"/>
        <w:rPr>
          <w:color w:val="000000" w:themeColor="text1"/>
        </w:rPr>
      </w:pPr>
      <w:bookmarkStart w:id="17" w:name="_Toc224609991"/>
      <w:r>
        <w:rPr>
          <w:color w:val="000000" w:themeColor="text1"/>
        </w:rPr>
        <w:t>3.2.4 Biomass Availability</w:t>
      </w:r>
      <w:bookmarkEnd w:id="17"/>
    </w:p>
    <w:p w14:paraId="67AE8262" w14:textId="77777777" w:rsidR="00D828C9" w:rsidRPr="0021250A" w:rsidRDefault="00FF3273">
      <w:pPr>
        <w:spacing w:before="80" w:after="80"/>
        <w:jc w:val="both"/>
        <w:rPr>
          <w:color w:val="000000" w:themeColor="text1"/>
        </w:rPr>
      </w:pPr>
      <w:r>
        <w:rPr>
          <w:color w:val="000000" w:themeColor="text1"/>
        </w:rPr>
        <w:t>Solid biomass potential was assessed using: (</w:t>
      </w:r>
      <w:proofErr w:type="spellStart"/>
      <w:r>
        <w:rPr>
          <w:color w:val="000000" w:themeColor="text1"/>
        </w:rPr>
        <w:t>i</w:t>
      </w:r>
      <w:proofErr w:type="spellEnd"/>
      <w:r>
        <w:rPr>
          <w:color w:val="000000" w:themeColor="text1"/>
        </w:rPr>
        <w:t>) forest cover extent from the Global Forest Watch (</w:t>
      </w:r>
      <w:proofErr w:type="spellStart"/>
      <w:r>
        <w:rPr>
          <w:color w:val="000000" w:themeColor="text1"/>
        </w:rPr>
        <w:t>Forest.tif</w:t>
      </w:r>
      <w:proofErr w:type="spellEnd"/>
      <w:r>
        <w:rPr>
          <w:color w:val="000000" w:themeColor="text1"/>
        </w:rPr>
        <w:t>), indicating areas with high fuelwood availability; and (ii) a friction surface (</w:t>
      </w:r>
      <w:proofErr w:type="spellStart"/>
      <w:r>
        <w:rPr>
          <w:color w:val="000000" w:themeColor="text1"/>
        </w:rPr>
        <w:t>Friction.tif</w:t>
      </w:r>
      <w:proofErr w:type="spellEnd"/>
      <w:r>
        <w:rPr>
          <w:color w:val="000000" w:themeColor="text1"/>
        </w:rPr>
        <w:t>) representing travel time from each grid cell to biomass sources, derived from the Malaria Atlas Project accessibility dataset. Livestock density data (Global Livestock of the World, GLW4) for cattle, buffaloes, pigs, goats, sheep, and poultry were incorporated to estimate biogas feedstock potential.</w:t>
      </w:r>
    </w:p>
    <w:p w14:paraId="2CCCD3C7" w14:textId="77777777" w:rsidR="00D828C9" w:rsidRPr="0021250A" w:rsidRDefault="00FF3273">
      <w:pPr>
        <w:pStyle w:val="Heading3"/>
        <w:rPr>
          <w:color w:val="000000" w:themeColor="text1"/>
        </w:rPr>
      </w:pPr>
      <w:bookmarkStart w:id="18" w:name="_Toc224609992"/>
      <w:r>
        <w:rPr>
          <w:color w:val="000000" w:themeColor="text1"/>
        </w:rPr>
        <w:t>3.2.5 Base Layer</w:t>
      </w:r>
      <w:bookmarkEnd w:id="18"/>
    </w:p>
    <w:p w14:paraId="48E55288" w14:textId="77777777" w:rsidR="00D828C9" w:rsidRPr="0021250A" w:rsidRDefault="00FF3273">
      <w:pPr>
        <w:spacing w:before="80" w:after="80"/>
        <w:jc w:val="both"/>
        <w:rPr>
          <w:color w:val="000000" w:themeColor="text1"/>
        </w:rPr>
      </w:pPr>
      <w:r>
        <w:rPr>
          <w:color w:val="000000" w:themeColor="text1"/>
        </w:rPr>
        <w:lastRenderedPageBreak/>
        <w:t>A binary base raster (</w:t>
      </w:r>
      <w:proofErr w:type="spellStart"/>
      <w:r>
        <w:rPr>
          <w:color w:val="000000" w:themeColor="text1"/>
        </w:rPr>
        <w:t>Base.tif</w:t>
      </w:r>
      <w:proofErr w:type="spellEnd"/>
      <w:r>
        <w:rPr>
          <w:color w:val="000000" w:themeColor="text1"/>
        </w:rPr>
        <w:t>) was used to mask unpopulated and water areas, ensuring the model only processed inhabited grid cells.</w:t>
      </w:r>
    </w:p>
    <w:p w14:paraId="209C120F" w14:textId="77777777" w:rsidR="00D828C9" w:rsidRPr="0021250A" w:rsidRDefault="00FF3273">
      <w:pPr>
        <w:pStyle w:val="Heading2"/>
        <w:rPr>
          <w:color w:val="000000" w:themeColor="text1"/>
        </w:rPr>
      </w:pPr>
      <w:bookmarkStart w:id="19" w:name="_Toc224609993"/>
      <w:r>
        <w:rPr>
          <w:color w:val="000000" w:themeColor="text1"/>
        </w:rPr>
        <w:t>3.3 Urban and Rural Classification</w:t>
      </w:r>
      <w:bookmarkEnd w:id="19"/>
    </w:p>
    <w:p w14:paraId="51E8BCCE" w14:textId="77777777" w:rsidR="00D828C9" w:rsidRPr="0021250A" w:rsidRDefault="00FF3273">
      <w:pPr>
        <w:spacing w:before="80" w:after="80"/>
        <w:jc w:val="both"/>
        <w:rPr>
          <w:color w:val="000000" w:themeColor="text1"/>
        </w:rPr>
      </w:pPr>
      <w:r>
        <w:rPr>
          <w:color w:val="000000" w:themeColor="text1"/>
        </w:rPr>
        <w:t>To simulate realistic technology adoption, the model classifies each 100m × 100m grid cell based on its population density. The classification threshold of 300 persons/km² is applied consistently across the national grid:</w:t>
      </w:r>
    </w:p>
    <w:p w14:paraId="0E5018BF" w14:textId="77777777" w:rsidR="00D828C9" w:rsidRPr="0021250A" w:rsidRDefault="00FF3273">
      <w:pPr>
        <w:spacing w:before="80" w:after="80"/>
        <w:jc w:val="both"/>
        <w:rPr>
          <w:color w:val="000000" w:themeColor="text1"/>
        </w:rPr>
      </w:pPr>
      <w:r>
        <w:rPr>
          <w:b/>
          <w:bCs/>
          <w:color w:val="000000" w:themeColor="text1"/>
        </w:rPr>
        <w:t xml:space="preserve">Urban Areas: </w:t>
      </w:r>
      <w:r>
        <w:rPr>
          <w:color w:val="000000" w:themeColor="text1"/>
        </w:rPr>
        <w:t xml:space="preserve">Grid cells with a population density greater than 300 persons/km² are classified as Urban. These areas are </w:t>
      </w:r>
      <w:proofErr w:type="spellStart"/>
      <w:r>
        <w:rPr>
          <w:color w:val="000000" w:themeColor="text1"/>
        </w:rPr>
        <w:t>characterised</w:t>
      </w:r>
      <w:proofErr w:type="spellEnd"/>
      <w:r>
        <w:rPr>
          <w:color w:val="000000" w:themeColor="text1"/>
        </w:rPr>
        <w:t xml:space="preserve"> by better infrastructure and higher access to electricity and LPG markets. Consequently, the model assigns a higher probability for these households to adopt electric cooking appliances and LPG stoves.</w:t>
      </w:r>
    </w:p>
    <w:p w14:paraId="03438D68" w14:textId="77777777" w:rsidR="00D828C9" w:rsidRPr="0021250A" w:rsidRDefault="00FF3273">
      <w:pPr>
        <w:spacing w:before="80" w:after="80"/>
        <w:jc w:val="both"/>
        <w:rPr>
          <w:color w:val="000000" w:themeColor="text1"/>
        </w:rPr>
      </w:pPr>
      <w:r>
        <w:rPr>
          <w:b/>
          <w:bCs/>
          <w:color w:val="000000" w:themeColor="text1"/>
        </w:rPr>
        <w:t xml:space="preserve">Rural Areas: </w:t>
      </w:r>
      <w:r>
        <w:rPr>
          <w:color w:val="000000" w:themeColor="text1"/>
        </w:rPr>
        <w:t>Grid cells with a population density less than or equal to 300 persons/km² are classified as Rural. These areas typically rely more on traditional biomass. The model focuses on the transition from open-fire tripod stoves to Improved Cookstoves (ICS) or advanced biomass solutions, reflecting local fuel availability and socio-economic conditions.</w:t>
      </w:r>
    </w:p>
    <w:p w14:paraId="5EFB207D" w14:textId="77777777" w:rsidR="00D828C9" w:rsidRPr="0021250A" w:rsidRDefault="00FF3273">
      <w:pPr>
        <w:pStyle w:val="Heading2"/>
        <w:rPr>
          <w:color w:val="000000" w:themeColor="text1"/>
        </w:rPr>
      </w:pPr>
      <w:bookmarkStart w:id="20" w:name="_Toc224609994"/>
      <w:r>
        <w:rPr>
          <w:color w:val="000000" w:themeColor="text1"/>
        </w:rPr>
        <w:t>3.4 Program Workflow and Simulation Logic</w:t>
      </w:r>
      <w:bookmarkEnd w:id="20"/>
    </w:p>
    <w:p w14:paraId="2344292B" w14:textId="77777777" w:rsidR="00D828C9" w:rsidRPr="0021250A" w:rsidRDefault="00FF3273">
      <w:pPr>
        <w:spacing w:before="80" w:after="80"/>
        <w:jc w:val="both"/>
        <w:rPr>
          <w:color w:val="000000" w:themeColor="text1"/>
        </w:rPr>
      </w:pPr>
      <w:r>
        <w:rPr>
          <w:color w:val="000000" w:themeColor="text1"/>
        </w:rPr>
        <w:t xml:space="preserve">The </w:t>
      </w:r>
      <w:proofErr w:type="spellStart"/>
      <w:r>
        <w:rPr>
          <w:color w:val="000000" w:themeColor="text1"/>
        </w:rPr>
        <w:t>programme</w:t>
      </w:r>
      <w:proofErr w:type="spellEnd"/>
      <w:r>
        <w:rPr>
          <w:color w:val="000000" w:themeColor="text1"/>
        </w:rPr>
        <w:t xml:space="preserve"> follows a systematic four-step process to simulate the clean cooking transition across the national grid for each projection year (2025–2030):</w:t>
      </w:r>
    </w:p>
    <w:p w14:paraId="1F689DC8" w14:textId="77777777" w:rsidR="00D828C9" w:rsidRPr="0021250A" w:rsidRDefault="00FF3273">
      <w:pPr>
        <w:numPr>
          <w:ilvl w:val="0"/>
          <w:numId w:val="1"/>
        </w:numPr>
        <w:spacing w:before="60" w:after="60"/>
        <w:rPr>
          <w:color w:val="000000" w:themeColor="text1"/>
        </w:rPr>
      </w:pPr>
      <w:r>
        <w:rPr>
          <w:b/>
          <w:bCs/>
          <w:color w:val="000000" w:themeColor="text1"/>
        </w:rPr>
        <w:t xml:space="preserve">Data Integration: </w:t>
      </w:r>
      <w:r>
        <w:rPr>
          <w:color w:val="000000" w:themeColor="text1"/>
        </w:rPr>
        <w:t>Merging spatial population data with technical specifications of cooking technologies (efficiency, cost, and emissions).</w:t>
      </w:r>
    </w:p>
    <w:p w14:paraId="1CA22B6F" w14:textId="77777777" w:rsidR="00D828C9" w:rsidRPr="0021250A" w:rsidRDefault="00FF3273">
      <w:pPr>
        <w:numPr>
          <w:ilvl w:val="0"/>
          <w:numId w:val="1"/>
        </w:numPr>
        <w:spacing w:before="60" w:after="60"/>
        <w:rPr>
          <w:color w:val="000000" w:themeColor="text1"/>
        </w:rPr>
      </w:pPr>
      <w:r>
        <w:rPr>
          <w:b/>
          <w:bCs/>
          <w:color w:val="000000" w:themeColor="text1"/>
        </w:rPr>
        <w:t xml:space="preserve">Stochastic Technology Mapping: </w:t>
      </w:r>
      <w:r>
        <w:rPr>
          <w:color w:val="000000" w:themeColor="text1"/>
        </w:rPr>
        <w:t xml:space="preserve">For each year (2025–2030), the </w:t>
      </w:r>
      <w:proofErr w:type="spellStart"/>
      <w:r>
        <w:rPr>
          <w:color w:val="000000" w:themeColor="text1"/>
        </w:rPr>
        <w:t>programme</w:t>
      </w:r>
      <w:proofErr w:type="spellEnd"/>
      <w:r>
        <w:rPr>
          <w:color w:val="000000" w:themeColor="text1"/>
        </w:rPr>
        <w:t xml:space="preserve"> applies a stochastic (probabilistic) approach to assign cooking technologies to households within each grid cell based on the defined scenarios.</w:t>
      </w:r>
    </w:p>
    <w:p w14:paraId="11EC60F4" w14:textId="77777777" w:rsidR="00D828C9" w:rsidRPr="0021250A" w:rsidRDefault="00FF3273">
      <w:pPr>
        <w:numPr>
          <w:ilvl w:val="0"/>
          <w:numId w:val="1"/>
        </w:numPr>
        <w:spacing w:before="60" w:after="60"/>
        <w:rPr>
          <w:color w:val="000000" w:themeColor="text1"/>
        </w:rPr>
      </w:pPr>
      <w:r>
        <w:rPr>
          <w:b/>
          <w:bCs/>
          <w:color w:val="000000" w:themeColor="text1"/>
        </w:rPr>
        <w:t xml:space="preserve">Annual Impact Simulation: </w:t>
      </w:r>
      <w:r>
        <w:rPr>
          <w:color w:val="000000" w:themeColor="text1"/>
        </w:rPr>
        <w:t>The model runs iterative loops for each year to calculate the changes in energy use, health outcomes, and economic gains.</w:t>
      </w:r>
    </w:p>
    <w:p w14:paraId="5E54B054" w14:textId="77777777" w:rsidR="00D828C9" w:rsidRPr="0021250A" w:rsidRDefault="00FF3273">
      <w:pPr>
        <w:numPr>
          <w:ilvl w:val="0"/>
          <w:numId w:val="1"/>
        </w:numPr>
        <w:spacing w:before="60" w:after="60"/>
        <w:rPr>
          <w:color w:val="000000" w:themeColor="text1"/>
        </w:rPr>
      </w:pPr>
      <w:r>
        <w:rPr>
          <w:b/>
          <w:bCs/>
          <w:color w:val="000000" w:themeColor="text1"/>
        </w:rPr>
        <w:t xml:space="preserve">Results Aggregation: </w:t>
      </w:r>
      <w:proofErr w:type="spellStart"/>
      <w:r>
        <w:rPr>
          <w:color w:val="000000" w:themeColor="text1"/>
        </w:rPr>
        <w:t>Localised</w:t>
      </w:r>
      <w:proofErr w:type="spellEnd"/>
      <w:r>
        <w:rPr>
          <w:color w:val="000000" w:themeColor="text1"/>
        </w:rPr>
        <w:t xml:space="preserve"> impacts are aggregated to produce national-level trends and summary tables.</w:t>
      </w:r>
    </w:p>
    <w:p w14:paraId="0D2E8FD3" w14:textId="77777777" w:rsidR="00D828C9" w:rsidRPr="0021250A" w:rsidRDefault="00FF3273">
      <w:pPr>
        <w:pStyle w:val="Heading2"/>
        <w:rPr>
          <w:color w:val="000000" w:themeColor="text1"/>
        </w:rPr>
      </w:pPr>
      <w:bookmarkStart w:id="21" w:name="_Toc224609995"/>
      <w:r>
        <w:rPr>
          <w:color w:val="000000" w:themeColor="text1"/>
        </w:rPr>
        <w:t>3.5 Core Calculation Formulas</w:t>
      </w:r>
      <w:bookmarkEnd w:id="21"/>
    </w:p>
    <w:p w14:paraId="56AE16B6" w14:textId="25E3D190" w:rsidR="00D828C9" w:rsidRPr="0021250A" w:rsidRDefault="00FF3273">
      <w:pPr>
        <w:spacing w:before="80" w:after="80"/>
        <w:jc w:val="both"/>
        <w:rPr>
          <w:color w:val="000000" w:themeColor="text1"/>
        </w:rPr>
      </w:pPr>
      <w:r>
        <w:rPr>
          <w:color w:val="000000" w:themeColor="text1"/>
        </w:rPr>
        <w:t>The model’s impact assessment is driven by the following core mathematical formulas, applied iteratively for each grid cell and aggregated to the national level:</w:t>
      </w:r>
    </w:p>
    <w:p w14:paraId="5EDE3359" w14:textId="77777777" w:rsidR="00D828C9" w:rsidRPr="0021250A" w:rsidRDefault="00FF3273">
      <w:pPr>
        <w:spacing w:before="80" w:after="60"/>
        <w:jc w:val="both"/>
        <w:rPr>
          <w:color w:val="000000" w:themeColor="text1"/>
        </w:rPr>
      </w:pPr>
      <w:r>
        <w:rPr>
          <w:b/>
          <w:bCs/>
          <w:color w:val="000000" w:themeColor="text1"/>
        </w:rPr>
        <w:t>(1) Energy Consumption (TJ/year)</w:t>
      </w:r>
    </w:p>
    <w:p w14:paraId="7242F0A8" w14:textId="77777777" w:rsidR="00D828C9" w:rsidRPr="0021250A" w:rsidRDefault="00FF3273">
      <w:pPr>
        <w:spacing w:before="60" w:after="60"/>
        <w:jc w:val="both"/>
        <w:rPr>
          <w:color w:val="000000" w:themeColor="text1"/>
        </w:rPr>
      </w:pPr>
      <w:r>
        <w:rPr>
          <w:color w:val="000000" w:themeColor="text1"/>
        </w:rPr>
        <w:t>Total energy consumption is calculated based on the cooking energy demand and the thermal efficiency of the assigned technology for each household:</w:t>
      </w:r>
    </w:p>
    <w:p w14:paraId="45DE921A" w14:textId="77777777" w:rsidR="00D828C9" w:rsidRPr="0021250A" w:rsidRDefault="00FF3273">
      <w:pPr>
        <w:spacing w:before="80" w:after="80"/>
        <w:jc w:val="center"/>
        <w:rPr>
          <w:color w:val="000000" w:themeColor="text1"/>
        </w:rPr>
      </w:pPr>
      <w:r>
        <w:rPr>
          <w:i/>
          <w:iCs/>
          <w:color w:val="000000" w:themeColor="text1"/>
        </w:rPr>
        <w:t xml:space="preserve">E = ∑ (Cooking Energy Demand / </w:t>
      </w:r>
      <w:proofErr w:type="spellStart"/>
      <w:proofErr w:type="gramStart"/>
      <w:r>
        <w:rPr>
          <w:i/>
          <w:iCs/>
          <w:color w:val="000000" w:themeColor="text1"/>
        </w:rPr>
        <w:t>Efficiency</w:t>
      </w:r>
      <w:r>
        <w:rPr>
          <w:i/>
          <w:iCs/>
          <w:color w:val="000000" w:themeColor="text1"/>
          <w:vertAlign w:val="subscript"/>
        </w:rPr>
        <w:t>tech</w:t>
      </w:r>
      <w:proofErr w:type="spellEnd"/>
      <w:r>
        <w:rPr>
          <w:i/>
          <w:iCs/>
          <w:color w:val="000000" w:themeColor="text1"/>
        </w:rPr>
        <w:t xml:space="preserve"> )</w:t>
      </w:r>
      <w:proofErr w:type="gramEnd"/>
      <w:r>
        <w:rPr>
          <w:i/>
          <w:iCs/>
          <w:color w:val="000000" w:themeColor="text1"/>
        </w:rPr>
        <w:t xml:space="preserve"> × Households</w:t>
      </w:r>
    </w:p>
    <w:p w14:paraId="0B30CFC1" w14:textId="77777777" w:rsidR="00D828C9" w:rsidRPr="0021250A" w:rsidRDefault="00FF3273">
      <w:pPr>
        <w:spacing w:before="80" w:after="60"/>
        <w:jc w:val="both"/>
        <w:rPr>
          <w:color w:val="000000" w:themeColor="text1"/>
        </w:rPr>
      </w:pPr>
      <w:r>
        <w:rPr>
          <w:b/>
          <w:bCs/>
          <w:color w:val="000000" w:themeColor="text1"/>
        </w:rPr>
        <w:t xml:space="preserve">(2) CO₂ Reduction (Million </w:t>
      </w:r>
      <w:proofErr w:type="spellStart"/>
      <w:r>
        <w:rPr>
          <w:b/>
          <w:bCs/>
          <w:color w:val="000000" w:themeColor="text1"/>
        </w:rPr>
        <w:t>Tonnes</w:t>
      </w:r>
      <w:proofErr w:type="spellEnd"/>
      <w:r>
        <w:rPr>
          <w:b/>
          <w:bCs/>
          <w:color w:val="000000" w:themeColor="text1"/>
        </w:rPr>
        <w:t>)</w:t>
      </w:r>
    </w:p>
    <w:p w14:paraId="4BA54234" w14:textId="77777777" w:rsidR="00D828C9" w:rsidRPr="0021250A" w:rsidRDefault="00FF3273">
      <w:pPr>
        <w:spacing w:before="60" w:after="60"/>
        <w:jc w:val="both"/>
        <w:rPr>
          <w:color w:val="000000" w:themeColor="text1"/>
        </w:rPr>
      </w:pPr>
      <w:r>
        <w:rPr>
          <w:color w:val="000000" w:themeColor="text1"/>
        </w:rPr>
        <w:t>CO₂ reductions are derived from the energy saved relative to the 2025 baseline, multiplied by the technology-specific emission factor (EF):</w:t>
      </w:r>
    </w:p>
    <w:p w14:paraId="361188CC" w14:textId="77777777" w:rsidR="00D828C9" w:rsidRPr="0021250A" w:rsidRDefault="00FF3273">
      <w:pPr>
        <w:spacing w:before="80" w:after="80"/>
        <w:jc w:val="center"/>
        <w:rPr>
          <w:color w:val="000000" w:themeColor="text1"/>
        </w:rPr>
      </w:pPr>
      <w:proofErr w:type="spellStart"/>
      <w:r>
        <w:rPr>
          <w:i/>
          <w:iCs/>
          <w:color w:val="000000" w:themeColor="text1"/>
        </w:rPr>
        <w:t>CO₂</w:t>
      </w:r>
      <w:r>
        <w:rPr>
          <w:i/>
          <w:iCs/>
          <w:color w:val="000000" w:themeColor="text1"/>
          <w:vertAlign w:val="subscript"/>
        </w:rPr>
        <w:t>saved</w:t>
      </w:r>
      <w:proofErr w:type="spellEnd"/>
      <w:r>
        <w:rPr>
          <w:i/>
          <w:iCs/>
          <w:color w:val="000000" w:themeColor="text1"/>
        </w:rPr>
        <w:t xml:space="preserve"> = (</w:t>
      </w:r>
      <w:proofErr w:type="spellStart"/>
      <w:r>
        <w:rPr>
          <w:i/>
          <w:iCs/>
          <w:color w:val="000000" w:themeColor="text1"/>
        </w:rPr>
        <w:t>E</w:t>
      </w:r>
      <w:r>
        <w:rPr>
          <w:i/>
          <w:iCs/>
          <w:color w:val="000000" w:themeColor="text1"/>
          <w:vertAlign w:val="subscript"/>
        </w:rPr>
        <w:t>baseline</w:t>
      </w:r>
      <w:proofErr w:type="spellEnd"/>
      <w:r>
        <w:rPr>
          <w:i/>
          <w:iCs/>
          <w:color w:val="000000" w:themeColor="text1"/>
        </w:rPr>
        <w:t xml:space="preserve"> − </w:t>
      </w:r>
      <w:proofErr w:type="gramStart"/>
      <w:r>
        <w:rPr>
          <w:i/>
          <w:iCs/>
          <w:color w:val="000000" w:themeColor="text1"/>
        </w:rPr>
        <w:t>E</w:t>
      </w:r>
      <w:r>
        <w:rPr>
          <w:i/>
          <w:iCs/>
          <w:color w:val="000000" w:themeColor="text1"/>
          <w:vertAlign w:val="subscript"/>
        </w:rPr>
        <w:t>current</w:t>
      </w:r>
      <w:r>
        <w:rPr>
          <w:i/>
          <w:iCs/>
          <w:color w:val="000000" w:themeColor="text1"/>
        </w:rPr>
        <w:t xml:space="preserve"> )</w:t>
      </w:r>
      <w:proofErr w:type="gramEnd"/>
      <w:r>
        <w:rPr>
          <w:i/>
          <w:iCs/>
          <w:color w:val="000000" w:themeColor="text1"/>
        </w:rPr>
        <w:t xml:space="preserve"> × EF</w:t>
      </w:r>
    </w:p>
    <w:p w14:paraId="04217479" w14:textId="77777777" w:rsidR="00D828C9" w:rsidRPr="0021250A" w:rsidRDefault="00FF3273">
      <w:pPr>
        <w:spacing w:before="80" w:after="60"/>
        <w:jc w:val="both"/>
        <w:rPr>
          <w:color w:val="000000" w:themeColor="text1"/>
        </w:rPr>
      </w:pPr>
      <w:r>
        <w:rPr>
          <w:b/>
          <w:bCs/>
          <w:color w:val="000000" w:themeColor="text1"/>
        </w:rPr>
        <w:t>(3) Time Saved (Hours/day)</w:t>
      </w:r>
    </w:p>
    <w:p w14:paraId="03E06537" w14:textId="77777777" w:rsidR="00D828C9" w:rsidRPr="0021250A" w:rsidRDefault="00FF3273">
      <w:pPr>
        <w:spacing w:before="60" w:after="80"/>
        <w:jc w:val="both"/>
        <w:rPr>
          <w:color w:val="000000" w:themeColor="text1"/>
        </w:rPr>
      </w:pPr>
      <w:r>
        <w:rPr>
          <w:color w:val="000000" w:themeColor="text1"/>
        </w:rPr>
        <w:t>Time saved is calculated by measuring the reduction in fuel collection time and cooking time when transitioning from traditional tripod stoves to modern technologies. This captures the welfare gain for women and girls who bear a disproportionate share of fuel collection and cooking duties.</w:t>
      </w:r>
    </w:p>
    <w:p w14:paraId="0C0E34AD" w14:textId="77777777" w:rsidR="00D828C9" w:rsidRPr="0021250A" w:rsidRDefault="00FF3273">
      <w:pPr>
        <w:spacing w:before="80" w:after="60"/>
        <w:jc w:val="both"/>
        <w:rPr>
          <w:color w:val="000000" w:themeColor="text1"/>
        </w:rPr>
      </w:pPr>
      <w:r>
        <w:rPr>
          <w:b/>
          <w:bCs/>
          <w:color w:val="000000" w:themeColor="text1"/>
        </w:rPr>
        <w:t>(4) Net Economic Gains (M.USD)</w:t>
      </w:r>
    </w:p>
    <w:p w14:paraId="1C0C5445" w14:textId="066202CF" w:rsidR="00D828C9" w:rsidRPr="0021250A" w:rsidRDefault="00FF3273">
      <w:pPr>
        <w:spacing w:before="60" w:after="60"/>
        <w:jc w:val="both"/>
        <w:rPr>
          <w:color w:val="000000" w:themeColor="text1"/>
        </w:rPr>
      </w:pPr>
      <w:r>
        <w:rPr>
          <w:color w:val="000000" w:themeColor="text1"/>
        </w:rPr>
        <w:t xml:space="preserve">Net economic gains are estimated through a Cost-Benefit Analysis (CBA) that sums up the </w:t>
      </w:r>
      <w:proofErr w:type="spellStart"/>
      <w:r>
        <w:rPr>
          <w:color w:val="000000" w:themeColor="text1"/>
        </w:rPr>
        <w:t>monetised</w:t>
      </w:r>
      <w:proofErr w:type="spellEnd"/>
      <w:r>
        <w:rPr>
          <w:color w:val="000000" w:themeColor="text1"/>
        </w:rPr>
        <w:t xml:space="preserve"> value of health improvements and time savings, minus the total </w:t>
      </w:r>
      <w:proofErr w:type="spellStart"/>
      <w:r>
        <w:rPr>
          <w:color w:val="000000" w:themeColor="text1"/>
        </w:rPr>
        <w:t>programme</w:t>
      </w:r>
      <w:proofErr w:type="spellEnd"/>
      <w:r>
        <w:rPr>
          <w:color w:val="000000" w:themeColor="text1"/>
        </w:rPr>
        <w:t xml:space="preserve"> investment cost:</w:t>
      </w:r>
    </w:p>
    <w:p w14:paraId="1DD7D50C" w14:textId="77777777" w:rsidR="00D828C9" w:rsidRPr="0021250A" w:rsidRDefault="00FF3273">
      <w:pPr>
        <w:spacing w:before="80" w:after="80"/>
        <w:jc w:val="center"/>
        <w:rPr>
          <w:color w:val="000000" w:themeColor="text1"/>
        </w:rPr>
      </w:pPr>
      <w:r>
        <w:rPr>
          <w:i/>
          <w:iCs/>
          <w:color w:val="000000" w:themeColor="text1"/>
        </w:rPr>
        <w:t>Net Gains = (</w:t>
      </w:r>
      <w:proofErr w:type="spellStart"/>
      <w:r>
        <w:rPr>
          <w:i/>
          <w:iCs/>
          <w:color w:val="000000" w:themeColor="text1"/>
        </w:rPr>
        <w:t>Value</w:t>
      </w:r>
      <w:r>
        <w:rPr>
          <w:i/>
          <w:iCs/>
          <w:color w:val="000000" w:themeColor="text1"/>
          <w:vertAlign w:val="subscript"/>
        </w:rPr>
        <w:t>health</w:t>
      </w:r>
      <w:proofErr w:type="spellEnd"/>
      <w:r>
        <w:rPr>
          <w:i/>
          <w:iCs/>
          <w:color w:val="000000" w:themeColor="text1"/>
        </w:rPr>
        <w:t xml:space="preserve"> + </w:t>
      </w:r>
      <w:proofErr w:type="spellStart"/>
      <w:proofErr w:type="gramStart"/>
      <w:r>
        <w:rPr>
          <w:i/>
          <w:iCs/>
          <w:color w:val="000000" w:themeColor="text1"/>
        </w:rPr>
        <w:t>Value</w:t>
      </w:r>
      <w:r>
        <w:rPr>
          <w:i/>
          <w:iCs/>
          <w:color w:val="000000" w:themeColor="text1"/>
          <w:vertAlign w:val="subscript"/>
        </w:rPr>
        <w:t>time</w:t>
      </w:r>
      <w:proofErr w:type="spellEnd"/>
      <w:r>
        <w:rPr>
          <w:i/>
          <w:iCs/>
          <w:color w:val="000000" w:themeColor="text1"/>
        </w:rPr>
        <w:t xml:space="preserve"> )</w:t>
      </w:r>
      <w:proofErr w:type="gramEnd"/>
      <w:r>
        <w:rPr>
          <w:i/>
          <w:iCs/>
          <w:color w:val="000000" w:themeColor="text1"/>
        </w:rPr>
        <w:t xml:space="preserve"> − </w:t>
      </w:r>
      <w:proofErr w:type="spellStart"/>
      <w:r>
        <w:rPr>
          <w:i/>
          <w:iCs/>
          <w:color w:val="000000" w:themeColor="text1"/>
        </w:rPr>
        <w:t>Cost</w:t>
      </w:r>
      <w:r>
        <w:rPr>
          <w:i/>
          <w:iCs/>
          <w:color w:val="000000" w:themeColor="text1"/>
          <w:vertAlign w:val="subscript"/>
        </w:rPr>
        <w:t>investment</w:t>
      </w:r>
      <w:proofErr w:type="spellEnd"/>
    </w:p>
    <w:p w14:paraId="40BF7B68" w14:textId="77777777" w:rsidR="00D828C9" w:rsidRPr="0021250A" w:rsidRDefault="00FF3273">
      <w:pPr>
        <w:spacing w:before="60" w:after="80"/>
        <w:jc w:val="both"/>
        <w:rPr>
          <w:color w:val="000000" w:themeColor="text1"/>
        </w:rPr>
      </w:pPr>
      <w:r>
        <w:rPr>
          <w:color w:val="000000" w:themeColor="text1"/>
        </w:rPr>
        <w:lastRenderedPageBreak/>
        <w:t>This formula is consistent with the net-benefit function described in Section 3.1, expressed here in aggregate economic terms to align with the scenario reporting in Section 5.</w:t>
      </w:r>
    </w:p>
    <w:p w14:paraId="4D1EF322" w14:textId="77777777" w:rsidR="00D828C9" w:rsidRPr="0021250A" w:rsidRDefault="00FF3273">
      <w:pPr>
        <w:pStyle w:val="Heading2"/>
        <w:rPr>
          <w:color w:val="000000" w:themeColor="text1"/>
        </w:rPr>
      </w:pPr>
      <w:bookmarkStart w:id="22" w:name="_Toc224609996"/>
      <w:r>
        <w:rPr>
          <w:color w:val="000000" w:themeColor="text1"/>
        </w:rPr>
        <w:t>3.6 Technology Specifications</w:t>
      </w:r>
      <w:bookmarkEnd w:id="22"/>
    </w:p>
    <w:p w14:paraId="1E6D9D72" w14:textId="24B4A28D" w:rsidR="00D828C9" w:rsidRPr="0021250A" w:rsidRDefault="00FF3273">
      <w:pPr>
        <w:spacing w:before="80" w:after="80"/>
        <w:jc w:val="both"/>
        <w:rPr>
          <w:color w:val="000000" w:themeColor="text1"/>
        </w:rPr>
      </w:pPr>
      <w:r>
        <w:rPr>
          <w:color w:val="000000" w:themeColor="text1"/>
        </w:rPr>
        <w:t>Eight cooking technologies were included in the analysis, reflecting the range of stoves observed in Lao households and those proposed for scale-up. Table 3 summarizes the technologies and their key parameters as encoded in the tech_specs_lao.csv file. These parameters include thermal efficiency, indoor emissions factor, fuel cost, appliance cost, and lifetime.</w:t>
      </w:r>
    </w:p>
    <w:p w14:paraId="6E3DE9A4" w14:textId="77777777" w:rsidR="00D828C9" w:rsidRPr="0021250A" w:rsidRDefault="00D828C9">
      <w:pPr>
        <w:spacing w:before="40" w:after="40"/>
        <w:rPr>
          <w:color w:val="000000" w:themeColor="text1"/>
        </w:rPr>
      </w:pPr>
    </w:p>
    <w:p w14:paraId="58392081" w14:textId="77777777" w:rsidR="00D828C9" w:rsidRPr="0021250A" w:rsidRDefault="00FF3273">
      <w:pPr>
        <w:spacing w:before="80" w:after="40"/>
        <w:jc w:val="center"/>
        <w:rPr>
          <w:color w:val="000000" w:themeColor="text1"/>
        </w:rPr>
      </w:pPr>
      <w:r>
        <w:rPr>
          <w:b/>
          <w:bCs/>
          <w:color w:val="000000" w:themeColor="text1"/>
          <w:sz w:val="20"/>
          <w:szCs w:val="20"/>
        </w:rPr>
        <w:t xml:space="preserve">Table 3. Cooking Technologies Included in the Lao </w:t>
      </w:r>
      <w:proofErr w:type="spellStart"/>
      <w:r>
        <w:rPr>
          <w:b/>
          <w:bCs/>
          <w:color w:val="000000" w:themeColor="text1"/>
          <w:sz w:val="20"/>
          <w:szCs w:val="20"/>
        </w:rPr>
        <w:t>OnStove</w:t>
      </w:r>
      <w:proofErr w:type="spellEnd"/>
      <w:r>
        <w:rPr>
          <w:b/>
          <w:bCs/>
          <w:color w:val="000000" w:themeColor="text1"/>
          <w:sz w:val="20"/>
          <w:szCs w:val="20"/>
        </w:rPr>
        <w:t xml:space="preserve"> Model</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00"/>
        <w:gridCol w:w="2000"/>
        <w:gridCol w:w="2000"/>
        <w:gridCol w:w="2838"/>
      </w:tblGrid>
      <w:tr w:rsidR="00D828C9" w:rsidRPr="0021250A" w14:paraId="552C8FD8" w14:textId="77777777">
        <w:trPr>
          <w:tblHeader/>
        </w:trPr>
        <w:tc>
          <w:tcPr>
            <w:tcW w:w="2800" w:type="dxa"/>
            <w:tcBorders>
              <w:top w:val="single" w:sz="1" w:space="0" w:color="CCCCCC"/>
              <w:left w:val="single" w:sz="1" w:space="0" w:color="CCCCCC"/>
              <w:bottom w:val="single" w:sz="1" w:space="0" w:color="CCCCCC"/>
              <w:right w:val="single" w:sz="1" w:space="0" w:color="CCCCCC"/>
            </w:tcBorders>
            <w:shd w:val="clear" w:color="auto" w:fill="2E75B6"/>
            <w:tcMar>
              <w:top w:w="80" w:type="dxa"/>
              <w:left w:w="100" w:type="dxa"/>
              <w:bottom w:w="80" w:type="dxa"/>
              <w:right w:w="100" w:type="dxa"/>
            </w:tcMar>
          </w:tcPr>
          <w:p w14:paraId="22A0CC4F" w14:textId="77777777" w:rsidR="00D828C9" w:rsidRPr="0021250A" w:rsidRDefault="00FF3273">
            <w:pPr>
              <w:jc w:val="center"/>
              <w:rPr>
                <w:color w:val="000000" w:themeColor="text1"/>
              </w:rPr>
            </w:pPr>
            <w:r>
              <w:rPr>
                <w:b/>
                <w:bCs/>
                <w:color w:val="000000" w:themeColor="text1"/>
                <w:sz w:val="18"/>
                <w:szCs w:val="18"/>
              </w:rPr>
              <w:t>Technology</w:t>
            </w:r>
          </w:p>
        </w:tc>
        <w:tc>
          <w:tcPr>
            <w:tcW w:w="2000" w:type="dxa"/>
            <w:tcBorders>
              <w:top w:val="single" w:sz="1" w:space="0" w:color="CCCCCC"/>
              <w:left w:val="single" w:sz="1" w:space="0" w:color="CCCCCC"/>
              <w:bottom w:val="single" w:sz="1" w:space="0" w:color="CCCCCC"/>
              <w:right w:val="single" w:sz="1" w:space="0" w:color="CCCCCC"/>
            </w:tcBorders>
            <w:shd w:val="clear" w:color="auto" w:fill="2E75B6"/>
            <w:tcMar>
              <w:top w:w="80" w:type="dxa"/>
              <w:left w:w="100" w:type="dxa"/>
              <w:bottom w:w="80" w:type="dxa"/>
              <w:right w:w="100" w:type="dxa"/>
            </w:tcMar>
          </w:tcPr>
          <w:p w14:paraId="0DCAA534" w14:textId="77777777" w:rsidR="00D828C9" w:rsidRPr="0021250A" w:rsidRDefault="00FF3273">
            <w:pPr>
              <w:jc w:val="center"/>
              <w:rPr>
                <w:color w:val="000000" w:themeColor="text1"/>
              </w:rPr>
            </w:pPr>
            <w:r>
              <w:rPr>
                <w:b/>
                <w:bCs/>
                <w:color w:val="000000" w:themeColor="text1"/>
                <w:sz w:val="18"/>
                <w:szCs w:val="18"/>
              </w:rPr>
              <w:t>Urban %</w:t>
            </w:r>
          </w:p>
        </w:tc>
        <w:tc>
          <w:tcPr>
            <w:tcW w:w="2000" w:type="dxa"/>
            <w:tcBorders>
              <w:top w:val="single" w:sz="1" w:space="0" w:color="CCCCCC"/>
              <w:left w:val="single" w:sz="1" w:space="0" w:color="CCCCCC"/>
              <w:bottom w:val="single" w:sz="1" w:space="0" w:color="CCCCCC"/>
              <w:right w:val="single" w:sz="1" w:space="0" w:color="CCCCCC"/>
            </w:tcBorders>
            <w:shd w:val="clear" w:color="auto" w:fill="2E75B6"/>
            <w:tcMar>
              <w:top w:w="80" w:type="dxa"/>
              <w:left w:w="100" w:type="dxa"/>
              <w:bottom w:w="80" w:type="dxa"/>
              <w:right w:w="100" w:type="dxa"/>
            </w:tcMar>
          </w:tcPr>
          <w:p w14:paraId="32307FB4" w14:textId="77777777" w:rsidR="00D828C9" w:rsidRPr="0021250A" w:rsidRDefault="00FF3273">
            <w:pPr>
              <w:jc w:val="center"/>
              <w:rPr>
                <w:color w:val="000000" w:themeColor="text1"/>
              </w:rPr>
            </w:pPr>
            <w:r>
              <w:rPr>
                <w:b/>
                <w:bCs/>
                <w:color w:val="000000" w:themeColor="text1"/>
                <w:sz w:val="18"/>
                <w:szCs w:val="18"/>
              </w:rPr>
              <w:t>Rural %</w:t>
            </w:r>
          </w:p>
        </w:tc>
        <w:tc>
          <w:tcPr>
            <w:tcW w:w="2838" w:type="dxa"/>
            <w:tcBorders>
              <w:top w:val="single" w:sz="1" w:space="0" w:color="CCCCCC"/>
              <w:left w:val="single" w:sz="1" w:space="0" w:color="CCCCCC"/>
              <w:bottom w:val="single" w:sz="1" w:space="0" w:color="CCCCCC"/>
              <w:right w:val="single" w:sz="1" w:space="0" w:color="CCCCCC"/>
            </w:tcBorders>
            <w:shd w:val="clear" w:color="auto" w:fill="2E75B6"/>
            <w:tcMar>
              <w:top w:w="80" w:type="dxa"/>
              <w:left w:w="100" w:type="dxa"/>
              <w:bottom w:w="80" w:type="dxa"/>
              <w:right w:w="100" w:type="dxa"/>
            </w:tcMar>
          </w:tcPr>
          <w:p w14:paraId="099FDEA2" w14:textId="77777777" w:rsidR="00D828C9" w:rsidRPr="0021250A" w:rsidRDefault="00FF3273">
            <w:pPr>
              <w:jc w:val="center"/>
              <w:rPr>
                <w:color w:val="000000" w:themeColor="text1"/>
              </w:rPr>
            </w:pPr>
            <w:r>
              <w:rPr>
                <w:b/>
                <w:bCs/>
                <w:color w:val="000000" w:themeColor="text1"/>
                <w:sz w:val="18"/>
                <w:szCs w:val="18"/>
              </w:rPr>
              <w:t>National %</w:t>
            </w:r>
          </w:p>
        </w:tc>
      </w:tr>
      <w:tr w:rsidR="00D828C9" w:rsidRPr="0021250A" w14:paraId="12A0935B" w14:textId="77777777">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99724A4" w14:textId="77777777" w:rsidR="00D828C9" w:rsidRPr="0021250A" w:rsidRDefault="00FF3273">
            <w:pPr>
              <w:jc w:val="center"/>
              <w:rPr>
                <w:color w:val="000000" w:themeColor="text1"/>
              </w:rPr>
            </w:pPr>
            <w:r>
              <w:rPr>
                <w:color w:val="000000" w:themeColor="text1"/>
                <w:sz w:val="18"/>
                <w:szCs w:val="18"/>
              </w:rPr>
              <w:t>ICS PPT-3</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66572E2" w14:textId="77777777" w:rsidR="00D828C9" w:rsidRPr="0021250A" w:rsidRDefault="00FF3273">
            <w:pPr>
              <w:jc w:val="center"/>
              <w:rPr>
                <w:color w:val="000000" w:themeColor="text1"/>
              </w:rPr>
            </w:pPr>
            <w:r>
              <w:rPr>
                <w:color w:val="000000" w:themeColor="text1"/>
                <w:sz w:val="18"/>
                <w:szCs w:val="18"/>
              </w:rPr>
              <w:t>10.8</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CF510A2" w14:textId="77777777" w:rsidR="00D828C9" w:rsidRPr="0021250A" w:rsidRDefault="00FF3273">
            <w:pPr>
              <w:jc w:val="center"/>
              <w:rPr>
                <w:color w:val="000000" w:themeColor="text1"/>
              </w:rPr>
            </w:pPr>
            <w:r>
              <w:rPr>
                <w:color w:val="000000" w:themeColor="text1"/>
                <w:sz w:val="18"/>
                <w:szCs w:val="18"/>
              </w:rPr>
              <w:t>3.3</w:t>
            </w:r>
          </w:p>
        </w:tc>
        <w:tc>
          <w:tcPr>
            <w:tcW w:w="28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08BEA1A" w14:textId="77777777" w:rsidR="00D828C9" w:rsidRPr="0021250A" w:rsidRDefault="00FF3273">
            <w:pPr>
              <w:jc w:val="center"/>
              <w:rPr>
                <w:color w:val="000000" w:themeColor="text1"/>
              </w:rPr>
            </w:pPr>
            <w:r>
              <w:rPr>
                <w:color w:val="000000" w:themeColor="text1"/>
                <w:sz w:val="18"/>
                <w:szCs w:val="18"/>
              </w:rPr>
              <w:t>2.6</w:t>
            </w:r>
          </w:p>
        </w:tc>
      </w:tr>
      <w:tr w:rsidR="00D828C9" w:rsidRPr="0021250A" w14:paraId="7023D2FF" w14:textId="77777777">
        <w:tc>
          <w:tcPr>
            <w:tcW w:w="2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541CE78" w14:textId="77777777" w:rsidR="00D828C9" w:rsidRPr="0021250A" w:rsidRDefault="00FF3273">
            <w:pPr>
              <w:jc w:val="center"/>
              <w:rPr>
                <w:color w:val="000000" w:themeColor="text1"/>
              </w:rPr>
            </w:pPr>
            <w:r>
              <w:rPr>
                <w:color w:val="000000" w:themeColor="text1"/>
                <w:sz w:val="18"/>
                <w:szCs w:val="18"/>
              </w:rPr>
              <w:t>ICS WS-3</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89AB0B7" w14:textId="77777777" w:rsidR="00D828C9" w:rsidRPr="0021250A" w:rsidRDefault="00FF3273">
            <w:pPr>
              <w:jc w:val="center"/>
              <w:rPr>
                <w:color w:val="000000" w:themeColor="text1"/>
              </w:rPr>
            </w:pPr>
            <w:r>
              <w:rPr>
                <w:color w:val="000000" w:themeColor="text1"/>
                <w:sz w:val="18"/>
                <w:szCs w:val="18"/>
              </w:rPr>
              <w:t>15.2</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17A39E1" w14:textId="77777777" w:rsidR="00D828C9" w:rsidRPr="0021250A" w:rsidRDefault="00FF3273">
            <w:pPr>
              <w:jc w:val="center"/>
              <w:rPr>
                <w:color w:val="000000" w:themeColor="text1"/>
              </w:rPr>
            </w:pPr>
            <w:r>
              <w:rPr>
                <w:color w:val="000000" w:themeColor="text1"/>
                <w:sz w:val="18"/>
                <w:szCs w:val="18"/>
              </w:rPr>
              <w:t>6.6</w:t>
            </w:r>
          </w:p>
        </w:tc>
        <w:tc>
          <w:tcPr>
            <w:tcW w:w="28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90B435A" w14:textId="77777777" w:rsidR="00D828C9" w:rsidRPr="0021250A" w:rsidRDefault="00FF3273">
            <w:pPr>
              <w:jc w:val="center"/>
              <w:rPr>
                <w:color w:val="000000" w:themeColor="text1"/>
              </w:rPr>
            </w:pPr>
            <w:r>
              <w:rPr>
                <w:color w:val="000000" w:themeColor="text1"/>
                <w:sz w:val="18"/>
                <w:szCs w:val="18"/>
              </w:rPr>
              <w:t>5.9</w:t>
            </w:r>
          </w:p>
        </w:tc>
      </w:tr>
      <w:tr w:rsidR="00D828C9" w:rsidRPr="0021250A" w14:paraId="0C458677" w14:textId="77777777">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96271C8" w14:textId="77777777" w:rsidR="00D828C9" w:rsidRPr="0021250A" w:rsidRDefault="00FF3273">
            <w:pPr>
              <w:jc w:val="center"/>
              <w:rPr>
                <w:color w:val="000000" w:themeColor="text1"/>
              </w:rPr>
            </w:pPr>
            <w:r>
              <w:rPr>
                <w:color w:val="000000" w:themeColor="text1"/>
                <w:sz w:val="18"/>
                <w:szCs w:val="18"/>
              </w:rPr>
              <w:t>LPG</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0B3C3EC" w14:textId="77777777" w:rsidR="00D828C9" w:rsidRPr="0021250A" w:rsidRDefault="00FF3273">
            <w:pPr>
              <w:jc w:val="center"/>
              <w:rPr>
                <w:color w:val="000000" w:themeColor="text1"/>
              </w:rPr>
            </w:pPr>
            <w:r>
              <w:rPr>
                <w:color w:val="000000" w:themeColor="text1"/>
                <w:sz w:val="18"/>
                <w:szCs w:val="18"/>
              </w:rPr>
              <w:t>1.2</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B700C66" w14:textId="77777777" w:rsidR="00D828C9" w:rsidRPr="0021250A" w:rsidRDefault="00FF3273">
            <w:pPr>
              <w:jc w:val="center"/>
              <w:rPr>
                <w:color w:val="000000" w:themeColor="text1"/>
              </w:rPr>
            </w:pPr>
            <w:r>
              <w:rPr>
                <w:color w:val="000000" w:themeColor="text1"/>
                <w:sz w:val="18"/>
                <w:szCs w:val="18"/>
              </w:rPr>
              <w:t>0.1</w:t>
            </w:r>
          </w:p>
        </w:tc>
        <w:tc>
          <w:tcPr>
            <w:tcW w:w="28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49892D4" w14:textId="77777777" w:rsidR="00D828C9" w:rsidRPr="0021250A" w:rsidRDefault="00FF3273">
            <w:pPr>
              <w:jc w:val="center"/>
              <w:rPr>
                <w:color w:val="000000" w:themeColor="text1"/>
              </w:rPr>
            </w:pPr>
            <w:r>
              <w:rPr>
                <w:color w:val="000000" w:themeColor="text1"/>
                <w:sz w:val="18"/>
                <w:szCs w:val="18"/>
              </w:rPr>
              <w:t>0.1</w:t>
            </w:r>
          </w:p>
        </w:tc>
      </w:tr>
      <w:tr w:rsidR="00D828C9" w:rsidRPr="0021250A" w14:paraId="725D0590" w14:textId="77777777">
        <w:tc>
          <w:tcPr>
            <w:tcW w:w="2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2444697" w14:textId="77777777" w:rsidR="00D828C9" w:rsidRPr="0021250A" w:rsidRDefault="00FF3273">
            <w:pPr>
              <w:jc w:val="center"/>
              <w:rPr>
                <w:color w:val="000000" w:themeColor="text1"/>
              </w:rPr>
            </w:pPr>
            <w:proofErr w:type="spellStart"/>
            <w:r>
              <w:rPr>
                <w:color w:val="000000" w:themeColor="text1"/>
                <w:sz w:val="18"/>
                <w:szCs w:val="18"/>
              </w:rPr>
              <w:t>TaoCement</w:t>
            </w:r>
            <w:proofErr w:type="spellEnd"/>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7054F402" w14:textId="77777777" w:rsidR="00D828C9" w:rsidRPr="0021250A" w:rsidRDefault="00FF3273">
            <w:pPr>
              <w:jc w:val="center"/>
              <w:rPr>
                <w:color w:val="000000" w:themeColor="text1"/>
              </w:rPr>
            </w:pPr>
            <w:r>
              <w:rPr>
                <w:color w:val="000000" w:themeColor="text1"/>
                <w:sz w:val="18"/>
                <w:szCs w:val="18"/>
              </w:rPr>
              <w:t>34.9</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621D2D0" w14:textId="77777777" w:rsidR="00D828C9" w:rsidRPr="0021250A" w:rsidRDefault="00FF3273">
            <w:pPr>
              <w:jc w:val="center"/>
              <w:rPr>
                <w:color w:val="000000" w:themeColor="text1"/>
              </w:rPr>
            </w:pPr>
            <w:r>
              <w:rPr>
                <w:color w:val="000000" w:themeColor="text1"/>
                <w:sz w:val="18"/>
                <w:szCs w:val="18"/>
              </w:rPr>
              <w:t>22.3</w:t>
            </w:r>
          </w:p>
        </w:tc>
        <w:tc>
          <w:tcPr>
            <w:tcW w:w="28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AA12032" w14:textId="77777777" w:rsidR="00D828C9" w:rsidRPr="0021250A" w:rsidRDefault="00FF3273">
            <w:pPr>
              <w:jc w:val="center"/>
              <w:rPr>
                <w:color w:val="000000" w:themeColor="text1"/>
              </w:rPr>
            </w:pPr>
            <w:r>
              <w:rPr>
                <w:color w:val="000000" w:themeColor="text1"/>
                <w:sz w:val="18"/>
                <w:szCs w:val="18"/>
              </w:rPr>
              <w:t>21.1</w:t>
            </w:r>
          </w:p>
        </w:tc>
      </w:tr>
      <w:tr w:rsidR="00D828C9" w:rsidRPr="0021250A" w14:paraId="771C523D" w14:textId="77777777">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5AB58A0" w14:textId="77777777" w:rsidR="00D828C9" w:rsidRPr="0021250A" w:rsidRDefault="00FF3273">
            <w:pPr>
              <w:jc w:val="center"/>
              <w:rPr>
                <w:color w:val="000000" w:themeColor="text1"/>
              </w:rPr>
            </w:pPr>
            <w:proofErr w:type="spellStart"/>
            <w:r>
              <w:rPr>
                <w:color w:val="000000" w:themeColor="text1"/>
                <w:sz w:val="18"/>
                <w:szCs w:val="18"/>
              </w:rPr>
              <w:t>TaoDam</w:t>
            </w:r>
            <w:proofErr w:type="spellEnd"/>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973E0F2" w14:textId="77777777" w:rsidR="00D828C9" w:rsidRPr="0021250A" w:rsidRDefault="00FF3273">
            <w:pPr>
              <w:jc w:val="center"/>
              <w:rPr>
                <w:color w:val="000000" w:themeColor="text1"/>
              </w:rPr>
            </w:pPr>
            <w:r>
              <w:rPr>
                <w:color w:val="000000" w:themeColor="text1"/>
                <w:sz w:val="18"/>
                <w:szCs w:val="18"/>
              </w:rPr>
              <w:t>19.3</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D897043" w14:textId="77777777" w:rsidR="00D828C9" w:rsidRPr="0021250A" w:rsidRDefault="00FF3273">
            <w:pPr>
              <w:jc w:val="center"/>
              <w:rPr>
                <w:color w:val="000000" w:themeColor="text1"/>
              </w:rPr>
            </w:pPr>
            <w:r>
              <w:rPr>
                <w:color w:val="000000" w:themeColor="text1"/>
                <w:sz w:val="18"/>
                <w:szCs w:val="18"/>
              </w:rPr>
              <w:t>15.3</w:t>
            </w:r>
          </w:p>
        </w:tc>
        <w:tc>
          <w:tcPr>
            <w:tcW w:w="28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CA4BE11" w14:textId="77777777" w:rsidR="00D828C9" w:rsidRPr="0021250A" w:rsidRDefault="00FF3273">
            <w:pPr>
              <w:jc w:val="center"/>
              <w:rPr>
                <w:color w:val="000000" w:themeColor="text1"/>
              </w:rPr>
            </w:pPr>
            <w:r>
              <w:rPr>
                <w:color w:val="000000" w:themeColor="text1"/>
                <w:sz w:val="18"/>
                <w:szCs w:val="18"/>
              </w:rPr>
              <w:t>15.2</w:t>
            </w:r>
          </w:p>
        </w:tc>
      </w:tr>
      <w:tr w:rsidR="00D828C9" w:rsidRPr="0021250A" w14:paraId="2DE59D4D" w14:textId="77777777">
        <w:tc>
          <w:tcPr>
            <w:tcW w:w="2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48BD39E" w14:textId="77777777" w:rsidR="00D828C9" w:rsidRPr="0021250A" w:rsidRDefault="00FF3273">
            <w:pPr>
              <w:jc w:val="center"/>
              <w:rPr>
                <w:color w:val="000000" w:themeColor="text1"/>
              </w:rPr>
            </w:pPr>
            <w:proofErr w:type="spellStart"/>
            <w:r>
              <w:rPr>
                <w:color w:val="000000" w:themeColor="text1"/>
                <w:sz w:val="18"/>
                <w:szCs w:val="18"/>
              </w:rPr>
              <w:t>TaoPayat</w:t>
            </w:r>
            <w:proofErr w:type="spellEnd"/>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34205C6" w14:textId="77777777" w:rsidR="00D828C9" w:rsidRPr="0021250A" w:rsidRDefault="00FF3273">
            <w:pPr>
              <w:jc w:val="center"/>
              <w:rPr>
                <w:color w:val="000000" w:themeColor="text1"/>
              </w:rPr>
            </w:pPr>
            <w:r>
              <w:rPr>
                <w:color w:val="000000" w:themeColor="text1"/>
                <w:sz w:val="18"/>
                <w:szCs w:val="18"/>
              </w:rPr>
              <w:t>9.2</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6E471AB" w14:textId="77777777" w:rsidR="00D828C9" w:rsidRPr="0021250A" w:rsidRDefault="00FF3273">
            <w:pPr>
              <w:jc w:val="center"/>
              <w:rPr>
                <w:color w:val="000000" w:themeColor="text1"/>
              </w:rPr>
            </w:pPr>
            <w:r>
              <w:rPr>
                <w:color w:val="000000" w:themeColor="text1"/>
                <w:sz w:val="18"/>
                <w:szCs w:val="18"/>
              </w:rPr>
              <w:t>2.3</w:t>
            </w:r>
          </w:p>
        </w:tc>
        <w:tc>
          <w:tcPr>
            <w:tcW w:w="28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4E986D0" w14:textId="77777777" w:rsidR="00D828C9" w:rsidRPr="0021250A" w:rsidRDefault="00FF3273">
            <w:pPr>
              <w:jc w:val="center"/>
              <w:rPr>
                <w:color w:val="000000" w:themeColor="text1"/>
              </w:rPr>
            </w:pPr>
            <w:r>
              <w:rPr>
                <w:color w:val="000000" w:themeColor="text1"/>
                <w:sz w:val="18"/>
                <w:szCs w:val="18"/>
              </w:rPr>
              <w:t>1.6</w:t>
            </w:r>
          </w:p>
        </w:tc>
      </w:tr>
      <w:tr w:rsidR="00D828C9" w:rsidRPr="0021250A" w14:paraId="33ED95F6" w14:textId="77777777">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CD04E3D" w14:textId="77777777" w:rsidR="00D828C9" w:rsidRPr="0021250A" w:rsidRDefault="00FF3273">
            <w:pPr>
              <w:jc w:val="center"/>
              <w:rPr>
                <w:color w:val="000000" w:themeColor="text1"/>
              </w:rPr>
            </w:pPr>
            <w:r>
              <w:rPr>
                <w:color w:val="000000" w:themeColor="text1"/>
                <w:sz w:val="18"/>
                <w:szCs w:val="18"/>
              </w:rPr>
              <w:t>Tripod stove</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3E566E00" w14:textId="77777777" w:rsidR="00D828C9" w:rsidRPr="0021250A" w:rsidRDefault="00FF3273">
            <w:pPr>
              <w:jc w:val="center"/>
              <w:rPr>
                <w:color w:val="000000" w:themeColor="text1"/>
              </w:rPr>
            </w:pPr>
            <w:r>
              <w:rPr>
                <w:color w:val="000000" w:themeColor="text1"/>
                <w:sz w:val="18"/>
                <w:szCs w:val="18"/>
              </w:rPr>
              <w:t>0.6</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4C6C8CC" w14:textId="77777777" w:rsidR="00D828C9" w:rsidRPr="0021250A" w:rsidRDefault="00FF3273">
            <w:pPr>
              <w:jc w:val="center"/>
              <w:rPr>
                <w:color w:val="000000" w:themeColor="text1"/>
              </w:rPr>
            </w:pPr>
            <w:r>
              <w:rPr>
                <w:color w:val="000000" w:themeColor="text1"/>
                <w:sz w:val="18"/>
                <w:szCs w:val="18"/>
              </w:rPr>
              <w:t>47.6</w:t>
            </w:r>
          </w:p>
        </w:tc>
        <w:tc>
          <w:tcPr>
            <w:tcW w:w="28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91208F0" w14:textId="77777777" w:rsidR="00D828C9" w:rsidRPr="0021250A" w:rsidRDefault="00FF3273">
            <w:pPr>
              <w:jc w:val="center"/>
              <w:rPr>
                <w:color w:val="000000" w:themeColor="text1"/>
              </w:rPr>
            </w:pPr>
            <w:r>
              <w:rPr>
                <w:color w:val="000000" w:themeColor="text1"/>
                <w:sz w:val="18"/>
                <w:szCs w:val="18"/>
              </w:rPr>
              <w:t>51.9</w:t>
            </w:r>
          </w:p>
        </w:tc>
      </w:tr>
      <w:tr w:rsidR="00D828C9" w:rsidRPr="0021250A" w14:paraId="33211446" w14:textId="77777777">
        <w:tc>
          <w:tcPr>
            <w:tcW w:w="28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C9ECFBD" w14:textId="77777777" w:rsidR="00D828C9" w:rsidRPr="0021250A" w:rsidRDefault="00FF3273">
            <w:pPr>
              <w:jc w:val="center"/>
              <w:rPr>
                <w:color w:val="000000" w:themeColor="text1"/>
              </w:rPr>
            </w:pPr>
            <w:r>
              <w:rPr>
                <w:color w:val="000000" w:themeColor="text1"/>
                <w:sz w:val="18"/>
                <w:szCs w:val="18"/>
              </w:rPr>
              <w:t>Electricity</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394698A" w14:textId="77777777" w:rsidR="00D828C9" w:rsidRPr="0021250A" w:rsidRDefault="00FF3273">
            <w:pPr>
              <w:jc w:val="center"/>
              <w:rPr>
                <w:color w:val="000000" w:themeColor="text1"/>
              </w:rPr>
            </w:pPr>
            <w:r>
              <w:rPr>
                <w:color w:val="000000" w:themeColor="text1"/>
                <w:sz w:val="18"/>
                <w:szCs w:val="18"/>
              </w:rPr>
              <w:t>8.8</w:t>
            </w:r>
          </w:p>
        </w:tc>
        <w:tc>
          <w:tcPr>
            <w:tcW w:w="20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FA1B1D7" w14:textId="77777777" w:rsidR="00D828C9" w:rsidRPr="0021250A" w:rsidRDefault="00FF3273">
            <w:pPr>
              <w:jc w:val="center"/>
              <w:rPr>
                <w:color w:val="000000" w:themeColor="text1"/>
              </w:rPr>
            </w:pPr>
            <w:r>
              <w:rPr>
                <w:color w:val="000000" w:themeColor="text1"/>
                <w:sz w:val="18"/>
                <w:szCs w:val="18"/>
              </w:rPr>
              <w:t>2.4</w:t>
            </w:r>
          </w:p>
        </w:tc>
        <w:tc>
          <w:tcPr>
            <w:tcW w:w="28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93075B9" w14:textId="77777777" w:rsidR="00D828C9" w:rsidRPr="0021250A" w:rsidRDefault="00FF3273">
            <w:pPr>
              <w:jc w:val="center"/>
              <w:rPr>
                <w:color w:val="000000" w:themeColor="text1"/>
              </w:rPr>
            </w:pPr>
            <w:r>
              <w:rPr>
                <w:color w:val="000000" w:themeColor="text1"/>
                <w:sz w:val="18"/>
                <w:szCs w:val="18"/>
              </w:rPr>
              <w:t>1.6</w:t>
            </w:r>
          </w:p>
        </w:tc>
      </w:tr>
    </w:tbl>
    <w:p w14:paraId="171381A5" w14:textId="77777777" w:rsidR="00D828C9" w:rsidRPr="0021250A" w:rsidRDefault="00FF3273">
      <w:pPr>
        <w:spacing w:before="60" w:after="120"/>
        <w:jc w:val="center"/>
        <w:rPr>
          <w:color w:val="000000" w:themeColor="text1"/>
        </w:rPr>
      </w:pPr>
      <w:r>
        <w:rPr>
          <w:i/>
          <w:iCs/>
          <w:color w:val="000000" w:themeColor="text1"/>
          <w:sz w:val="20"/>
          <w:szCs w:val="20"/>
        </w:rPr>
        <w:t>Source: Authors' calibration based on tech_specs_lao.csv; urban/rural shares from baseline model outputs.</w:t>
      </w:r>
    </w:p>
    <w:p w14:paraId="626163F7" w14:textId="77777777" w:rsidR="00D828C9" w:rsidRPr="0021250A" w:rsidRDefault="00D828C9">
      <w:pPr>
        <w:spacing w:before="40" w:after="40"/>
        <w:rPr>
          <w:color w:val="000000" w:themeColor="text1"/>
        </w:rPr>
      </w:pPr>
    </w:p>
    <w:p w14:paraId="4D44F071" w14:textId="4AA3F7C8" w:rsidR="00D828C9" w:rsidRPr="0021250A" w:rsidRDefault="00FF3273">
      <w:pPr>
        <w:spacing w:before="80" w:after="80"/>
        <w:jc w:val="both"/>
        <w:rPr>
          <w:color w:val="000000" w:themeColor="text1"/>
        </w:rPr>
      </w:pPr>
      <w:r>
        <w:rPr>
          <w:color w:val="000000" w:themeColor="text1"/>
        </w:rPr>
        <w:t xml:space="preserve">Traditional technologies — Tripod stove, </w:t>
      </w:r>
      <w:proofErr w:type="spellStart"/>
      <w:r>
        <w:rPr>
          <w:color w:val="000000" w:themeColor="text1"/>
        </w:rPr>
        <w:t>TaoDam</w:t>
      </w:r>
      <w:proofErr w:type="spellEnd"/>
      <w:r>
        <w:rPr>
          <w:color w:val="000000" w:themeColor="text1"/>
        </w:rPr>
        <w:t xml:space="preserve">, </w:t>
      </w:r>
      <w:proofErr w:type="spellStart"/>
      <w:r>
        <w:rPr>
          <w:color w:val="000000" w:themeColor="text1"/>
        </w:rPr>
        <w:t>TaoCement</w:t>
      </w:r>
      <w:proofErr w:type="spellEnd"/>
      <w:r>
        <w:rPr>
          <w:color w:val="000000" w:themeColor="text1"/>
        </w:rPr>
        <w:t xml:space="preserve">, and </w:t>
      </w:r>
      <w:proofErr w:type="spellStart"/>
      <w:r>
        <w:rPr>
          <w:color w:val="000000" w:themeColor="text1"/>
        </w:rPr>
        <w:t>TaoPayat</w:t>
      </w:r>
      <w:proofErr w:type="spellEnd"/>
      <w:r>
        <w:rPr>
          <w:color w:val="000000" w:themeColor="text1"/>
        </w:rPr>
        <w:t xml:space="preserve"> — represent locally manufactured charcoal and biomass-burning stoves prevalent across Lao PDR. Improved Cookstoves (ICS WS-3: </w:t>
      </w:r>
      <w:proofErr w:type="gramStart"/>
      <w:r>
        <w:rPr>
          <w:color w:val="000000" w:themeColor="text1"/>
        </w:rPr>
        <w:t>wood-burning</w:t>
      </w:r>
      <w:proofErr w:type="gramEnd"/>
      <w:r>
        <w:rPr>
          <w:color w:val="000000" w:themeColor="text1"/>
        </w:rPr>
        <w:t>; ICS PPT-3: pellet/processed fuel) represent the primary intervention technologies. LPG and electricity-based cooking represent higher-tier modern energy solutions, predominantly feasible in urban and peri-urban areas.</w:t>
      </w:r>
    </w:p>
    <w:p w14:paraId="68C90699" w14:textId="77777777" w:rsidR="00D828C9" w:rsidRPr="0021250A" w:rsidRDefault="00FF3273">
      <w:pPr>
        <w:pStyle w:val="Heading2"/>
        <w:rPr>
          <w:color w:val="000000" w:themeColor="text1"/>
        </w:rPr>
      </w:pPr>
      <w:bookmarkStart w:id="23" w:name="_Toc224609997"/>
      <w:r>
        <w:rPr>
          <w:color w:val="000000" w:themeColor="text1"/>
        </w:rPr>
        <w:t>3.7 Socioeconomic Parameters</w:t>
      </w:r>
      <w:bookmarkEnd w:id="23"/>
    </w:p>
    <w:p w14:paraId="030F1CD6" w14:textId="1571F8B0" w:rsidR="00D828C9" w:rsidRPr="0021250A" w:rsidRDefault="00FF3273">
      <w:pPr>
        <w:spacing w:before="80" w:after="80"/>
        <w:jc w:val="both"/>
        <w:rPr>
          <w:color w:val="000000" w:themeColor="text1"/>
        </w:rPr>
      </w:pPr>
      <w:r>
        <w:rPr>
          <w:color w:val="000000" w:themeColor="text1"/>
        </w:rPr>
        <w:t>Household-level socioeconomic parameters were encoded in soc_specs_lao.csv, including household size (average 5.5 persons per household), income distribution, willingness-to-pay parameters, fuel expenditure data, and cooking time estimates. These were calibrated against the Lao Statistics Bureau (LSB) Household Income and Expenditure Survey and the World Bank Poverty Assessment.</w:t>
      </w:r>
    </w:p>
    <w:p w14:paraId="75D1FDE1" w14:textId="72572F35" w:rsidR="00D828C9" w:rsidRPr="0021250A" w:rsidRDefault="00FF3273">
      <w:pPr>
        <w:spacing w:before="80" w:after="80"/>
        <w:jc w:val="both"/>
        <w:rPr>
          <w:color w:val="000000" w:themeColor="text1"/>
        </w:rPr>
      </w:pPr>
      <w:r>
        <w:rPr>
          <w:color w:val="000000" w:themeColor="text1"/>
        </w:rPr>
        <w:t xml:space="preserve">Health impact parameters followed the WHO exposure-response functions for household air pollution and PM2.5 concentrations, with </w:t>
      </w:r>
      <w:proofErr w:type="spellStart"/>
      <w:r>
        <w:rPr>
          <w:color w:val="000000" w:themeColor="text1"/>
        </w:rPr>
        <w:t>monetisation</w:t>
      </w:r>
      <w:proofErr w:type="spellEnd"/>
      <w:r>
        <w:rPr>
          <w:color w:val="000000" w:themeColor="text1"/>
        </w:rPr>
        <w:t xml:space="preserve"> using a VSL of USD 1.1 million (adjusted for Lao per capita income).</w:t>
      </w:r>
    </w:p>
    <w:p w14:paraId="14058D2A" w14:textId="77777777" w:rsidR="00D828C9" w:rsidRPr="0021250A" w:rsidRDefault="00FF3273">
      <w:pPr>
        <w:pStyle w:val="Heading2"/>
        <w:rPr>
          <w:color w:val="000000" w:themeColor="text1"/>
        </w:rPr>
      </w:pPr>
      <w:bookmarkStart w:id="24" w:name="_Toc224609998"/>
      <w:r>
        <w:rPr>
          <w:color w:val="000000" w:themeColor="text1"/>
        </w:rPr>
        <w:t>3.8 Scenario Design</w:t>
      </w:r>
      <w:bookmarkEnd w:id="24"/>
    </w:p>
    <w:p w14:paraId="3405485E" w14:textId="505E23EB" w:rsidR="00D828C9" w:rsidRPr="0021250A" w:rsidRDefault="00FF3273">
      <w:pPr>
        <w:spacing w:before="80" w:after="80"/>
        <w:jc w:val="both"/>
        <w:rPr>
          <w:color w:val="000000" w:themeColor="text1"/>
        </w:rPr>
      </w:pPr>
      <w:r>
        <w:rPr>
          <w:color w:val="000000" w:themeColor="text1"/>
        </w:rPr>
        <w:t>Following the baseline calibration, a single forward-looking scenario was developed in collaboration with researchers at NUOL and Imperial College London. The scenario represents an "accelerated clean cooking transition" in which:</w:t>
      </w:r>
    </w:p>
    <w:p w14:paraId="49B61C42" w14:textId="77777777" w:rsidR="00D828C9" w:rsidRPr="0021250A" w:rsidRDefault="00D828C9">
      <w:pPr>
        <w:spacing w:before="40" w:after="40"/>
        <w:rPr>
          <w:color w:val="000000" w:themeColor="text1"/>
        </w:rPr>
      </w:pPr>
    </w:p>
    <w:p w14:paraId="6A66EF35" w14:textId="77777777" w:rsidR="00D828C9" w:rsidRPr="0021250A" w:rsidRDefault="00FF3273">
      <w:pPr>
        <w:pStyle w:val="ListParagraph"/>
        <w:numPr>
          <w:ilvl w:val="0"/>
          <w:numId w:val="2"/>
        </w:numPr>
        <w:spacing w:before="60" w:after="60"/>
        <w:rPr>
          <w:color w:val="000000" w:themeColor="text1"/>
        </w:rPr>
      </w:pPr>
      <w:r>
        <w:rPr>
          <w:color w:val="000000" w:themeColor="text1"/>
        </w:rPr>
        <w:t>Urban households progressively transition from traditional stoves to ICS and electric cooking between 2025 and 2030, with tripod stove use eliminated in urban areas by 2026.</w:t>
      </w:r>
    </w:p>
    <w:p w14:paraId="09F3BF4A"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Rural households receive targeted ICS WS-3 and ICS PPT-3 distribution, reflecting a subsidy-supported </w:t>
      </w:r>
      <w:proofErr w:type="spellStart"/>
      <w:r>
        <w:rPr>
          <w:color w:val="000000" w:themeColor="text1"/>
        </w:rPr>
        <w:t>programme</w:t>
      </w:r>
      <w:proofErr w:type="spellEnd"/>
      <w:r>
        <w:rPr>
          <w:color w:val="000000" w:themeColor="text1"/>
        </w:rPr>
        <w:t xml:space="preserve"> reaching approximately 3–5% of rural households annually.</w:t>
      </w:r>
    </w:p>
    <w:p w14:paraId="66FE3719"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Electricity-based cooking scales in urban areas as grid reliability improves, consistent with the Lao PDR National Electrification </w:t>
      </w:r>
      <w:proofErr w:type="spellStart"/>
      <w:r>
        <w:rPr>
          <w:color w:val="000000" w:themeColor="text1"/>
        </w:rPr>
        <w:t>Programme</w:t>
      </w:r>
      <w:proofErr w:type="spellEnd"/>
      <w:r>
        <w:rPr>
          <w:color w:val="000000" w:themeColor="text1"/>
        </w:rPr>
        <w:t xml:space="preserve"> targets.</w:t>
      </w:r>
    </w:p>
    <w:p w14:paraId="4194A348" w14:textId="77777777" w:rsidR="00D828C9" w:rsidRPr="0021250A" w:rsidRDefault="00FF3273">
      <w:pPr>
        <w:pStyle w:val="ListParagraph"/>
        <w:numPr>
          <w:ilvl w:val="0"/>
          <w:numId w:val="2"/>
        </w:numPr>
        <w:spacing w:before="60" w:after="60"/>
        <w:rPr>
          <w:color w:val="000000" w:themeColor="text1"/>
        </w:rPr>
      </w:pPr>
      <w:r>
        <w:rPr>
          <w:color w:val="000000" w:themeColor="text1"/>
        </w:rPr>
        <w:lastRenderedPageBreak/>
        <w:t>Technology costs follow a learning-curve trajectory, with ICS costs declining by approximately 5% per year as domestic manufacturing capacity scales.</w:t>
      </w:r>
    </w:p>
    <w:p w14:paraId="7E48DBE4" w14:textId="77777777" w:rsidR="00D828C9" w:rsidRPr="0021250A" w:rsidRDefault="00D828C9">
      <w:pPr>
        <w:spacing w:before="40" w:after="40"/>
        <w:rPr>
          <w:color w:val="000000" w:themeColor="text1"/>
        </w:rPr>
      </w:pPr>
    </w:p>
    <w:p w14:paraId="4C28B8C2" w14:textId="58668808" w:rsidR="00D828C9" w:rsidRPr="0021250A" w:rsidRDefault="00FF3273">
      <w:pPr>
        <w:spacing w:before="80" w:after="80"/>
        <w:jc w:val="both"/>
        <w:rPr>
          <w:color w:val="000000" w:themeColor="text1"/>
        </w:rPr>
      </w:pPr>
      <w:r>
        <w:rPr>
          <w:color w:val="000000" w:themeColor="text1"/>
        </w:rPr>
        <w:t>The scenarios were run over six annual timesteps (2025–2030), with each year building on the technology distribution from the previous year.</w:t>
      </w:r>
    </w:p>
    <w:p w14:paraId="5144B8ED" w14:textId="77777777" w:rsidR="00D828C9" w:rsidRPr="0021250A" w:rsidRDefault="00FF3273">
      <w:pPr>
        <w:rPr>
          <w:color w:val="000000" w:themeColor="text1"/>
        </w:rPr>
      </w:pPr>
      <w:r>
        <w:rPr>
          <w:color w:val="000000" w:themeColor="text1"/>
        </w:rPr>
        <w:br w:type="page"/>
      </w:r>
    </w:p>
    <w:p w14:paraId="54773CC1" w14:textId="77777777" w:rsidR="00D828C9" w:rsidRPr="0021250A" w:rsidRDefault="00FF3273">
      <w:pPr>
        <w:pStyle w:val="Heading1"/>
        <w:rPr>
          <w:color w:val="000000" w:themeColor="text1"/>
        </w:rPr>
      </w:pPr>
      <w:bookmarkStart w:id="25" w:name="_Toc224609999"/>
      <w:r>
        <w:rPr>
          <w:color w:val="000000" w:themeColor="text1"/>
        </w:rPr>
        <w:lastRenderedPageBreak/>
        <w:t>4. Baseline Cooking Technology Distribution</w:t>
      </w:r>
      <w:bookmarkEnd w:id="25"/>
    </w:p>
    <w:p w14:paraId="7D629E16" w14:textId="77777777" w:rsidR="00D828C9" w:rsidRPr="0021250A" w:rsidRDefault="00FF3273">
      <w:pPr>
        <w:pStyle w:val="Heading2"/>
        <w:rPr>
          <w:color w:val="000000" w:themeColor="text1"/>
        </w:rPr>
      </w:pPr>
      <w:bookmarkStart w:id="26" w:name="_Toc224610000"/>
      <w:r>
        <w:rPr>
          <w:color w:val="000000" w:themeColor="text1"/>
        </w:rPr>
        <w:t>4.1 National Technology Mix</w:t>
      </w:r>
      <w:bookmarkEnd w:id="26"/>
    </w:p>
    <w:p w14:paraId="4B57BA5C" w14:textId="77777777" w:rsidR="00D828C9" w:rsidRPr="0021250A" w:rsidRDefault="00FF3273">
      <w:pPr>
        <w:spacing w:before="80" w:after="80"/>
        <w:jc w:val="both"/>
        <w:rPr>
          <w:color w:val="000000" w:themeColor="text1"/>
        </w:rPr>
      </w:pPr>
      <w:r>
        <w:rPr>
          <w:color w:val="000000" w:themeColor="text1"/>
        </w:rPr>
        <w:t xml:space="preserve">The baseline model captures the 2024/2025 state of cooking technology in Lao PDR. At the national level, the Tripod stove is the dominant technology, used by 51.9% of households (Figure 3). This is followed by </w:t>
      </w:r>
      <w:proofErr w:type="spellStart"/>
      <w:r>
        <w:rPr>
          <w:color w:val="000000" w:themeColor="text1"/>
        </w:rPr>
        <w:t>TaoCement</w:t>
      </w:r>
      <w:proofErr w:type="spellEnd"/>
      <w:r>
        <w:rPr>
          <w:color w:val="000000" w:themeColor="text1"/>
        </w:rPr>
        <w:t xml:space="preserve"> (21.1%), </w:t>
      </w:r>
      <w:proofErr w:type="spellStart"/>
      <w:r>
        <w:rPr>
          <w:color w:val="000000" w:themeColor="text1"/>
        </w:rPr>
        <w:t>TaoDam</w:t>
      </w:r>
      <w:proofErr w:type="spellEnd"/>
      <w:r>
        <w:rPr>
          <w:color w:val="000000" w:themeColor="text1"/>
        </w:rPr>
        <w:t xml:space="preserve"> (15.2%), ICS WS-3 (5.9%), ICS PPT-3 (2.6%), </w:t>
      </w:r>
      <w:proofErr w:type="spellStart"/>
      <w:r>
        <w:rPr>
          <w:color w:val="000000" w:themeColor="text1"/>
        </w:rPr>
        <w:t>TaoPayat</w:t>
      </w:r>
      <w:proofErr w:type="spellEnd"/>
      <w:r>
        <w:rPr>
          <w:color w:val="000000" w:themeColor="text1"/>
        </w:rPr>
        <w:t xml:space="preserve"> (1.6%), and Electricity (1.6%). LPG remains negligible at 0.1%, reflecting high cylinder costs and supply chain limitations.</w:t>
      </w:r>
    </w:p>
    <w:p w14:paraId="1D877637" w14:textId="7525F9BF" w:rsidR="00D828C9" w:rsidRPr="0021250A" w:rsidRDefault="00FF3273">
      <w:pPr>
        <w:spacing w:before="80" w:after="80"/>
        <w:jc w:val="both"/>
        <w:rPr>
          <w:color w:val="000000" w:themeColor="text1"/>
        </w:rPr>
      </w:pPr>
      <w:r>
        <w:rPr>
          <w:color w:val="000000" w:themeColor="text1"/>
        </w:rPr>
        <w:t xml:space="preserve">This figure is consistent with the findings of the Lao PDR Household Energy Survey (LFES, 2021) and the ESMAP Multi-Tier Framework survey, which reported biomass use by approximately 80% of rural households. The slight deviation reflects the </w:t>
      </w:r>
      <w:proofErr w:type="spellStart"/>
      <w:r>
        <w:rPr>
          <w:color w:val="000000" w:themeColor="text1"/>
        </w:rPr>
        <w:t>OnStove</w:t>
      </w:r>
      <w:proofErr w:type="spellEnd"/>
      <w:r>
        <w:rPr>
          <w:color w:val="000000" w:themeColor="text1"/>
        </w:rPr>
        <w:t xml:space="preserve"> model's probabilistic assignment, which accounts for grid-cell-level variation in accessibility and income.</w:t>
      </w:r>
    </w:p>
    <w:p w14:paraId="70CEECD3" w14:textId="77777777" w:rsidR="00D828C9" w:rsidRPr="0021250A" w:rsidRDefault="00D828C9">
      <w:pPr>
        <w:spacing w:before="40" w:after="40"/>
        <w:rPr>
          <w:color w:val="000000" w:themeColor="text1"/>
        </w:rPr>
      </w:pPr>
    </w:p>
    <w:p w14:paraId="4D605A7B"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7C58ECF9" wp14:editId="7A8800BE">
            <wp:extent cx="6372225" cy="5086350"/>
            <wp:effectExtent l="0" t="0" r="0" b="0"/>
            <wp:docPr id="920655171" name="Picture 92065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6372225" cy="5086350"/>
                    </a:xfrm>
                    <a:prstGeom prst="rect">
                      <a:avLst/>
                    </a:prstGeom>
                  </pic:spPr>
                </pic:pic>
              </a:graphicData>
            </a:graphic>
          </wp:inline>
        </w:drawing>
      </w:r>
    </w:p>
    <w:p w14:paraId="047BF608" w14:textId="608F4B73" w:rsidR="00D828C9" w:rsidRPr="0021250A" w:rsidRDefault="00FF3273">
      <w:pPr>
        <w:spacing w:before="60" w:after="120"/>
        <w:jc w:val="center"/>
        <w:rPr>
          <w:color w:val="000000" w:themeColor="text1"/>
        </w:rPr>
      </w:pPr>
      <w:r>
        <w:rPr>
          <w:i/>
          <w:iCs/>
          <w:color w:val="000000" w:themeColor="text1"/>
          <w:sz w:val="20"/>
          <w:szCs w:val="20"/>
        </w:rPr>
        <w:t>Figure 3. Spatial Distribution of Cooking Technologies in Lao PDR — Baseline (2024/2025). Urban threshold: 300 persons/km². National urban share: 9.24%.</w:t>
      </w:r>
    </w:p>
    <w:p w14:paraId="229A401D" w14:textId="77777777" w:rsidR="00D828C9" w:rsidRPr="0021250A" w:rsidRDefault="00FF3273">
      <w:pPr>
        <w:pStyle w:val="Heading2"/>
        <w:rPr>
          <w:color w:val="000000" w:themeColor="text1"/>
        </w:rPr>
      </w:pPr>
      <w:bookmarkStart w:id="27" w:name="_Toc224610001"/>
      <w:r>
        <w:rPr>
          <w:color w:val="000000" w:themeColor="text1"/>
        </w:rPr>
        <w:t>4.2 Urban–Rural Technology Divide</w:t>
      </w:r>
      <w:bookmarkEnd w:id="27"/>
    </w:p>
    <w:p w14:paraId="129A5CA6" w14:textId="7F9D60A7" w:rsidR="00D828C9" w:rsidRPr="0021250A" w:rsidRDefault="00FF3273">
      <w:pPr>
        <w:spacing w:before="80" w:after="80"/>
        <w:jc w:val="both"/>
        <w:rPr>
          <w:color w:val="000000" w:themeColor="text1"/>
        </w:rPr>
      </w:pPr>
      <w:r>
        <w:rPr>
          <w:color w:val="000000" w:themeColor="text1"/>
        </w:rPr>
        <w:t xml:space="preserve">The baseline reveals a pronounced urban–rural divide in cooking technology access (Table 3). In urban areas, </w:t>
      </w:r>
      <w:proofErr w:type="spellStart"/>
      <w:r>
        <w:rPr>
          <w:color w:val="000000" w:themeColor="text1"/>
        </w:rPr>
        <w:t>TaoCement</w:t>
      </w:r>
      <w:proofErr w:type="spellEnd"/>
      <w:r>
        <w:rPr>
          <w:color w:val="000000" w:themeColor="text1"/>
        </w:rPr>
        <w:t xml:space="preserve"> accounts for 34.9% of households, followed by </w:t>
      </w:r>
      <w:proofErr w:type="spellStart"/>
      <w:r>
        <w:rPr>
          <w:color w:val="000000" w:themeColor="text1"/>
        </w:rPr>
        <w:t>TaoDam</w:t>
      </w:r>
      <w:proofErr w:type="spellEnd"/>
      <w:r>
        <w:rPr>
          <w:color w:val="000000" w:themeColor="text1"/>
        </w:rPr>
        <w:t xml:space="preserve"> (19.3%), ICS WS-3 (15.2%), and ICS PPT-3 (10.8%). Electric cooking reaches 8.8% of urban households, reflecting partial grid coverage in Vientiane and provincial capitals. Tripod stove use in urban areas is only 0.6%, suggesting that urbanization drives technology upgrading even without formal </w:t>
      </w:r>
      <w:proofErr w:type="spellStart"/>
      <w:r>
        <w:rPr>
          <w:color w:val="000000" w:themeColor="text1"/>
        </w:rPr>
        <w:t>programmes</w:t>
      </w:r>
      <w:proofErr w:type="spellEnd"/>
      <w:r>
        <w:rPr>
          <w:color w:val="000000" w:themeColor="text1"/>
        </w:rPr>
        <w:t>.</w:t>
      </w:r>
    </w:p>
    <w:p w14:paraId="416545F5" w14:textId="1C194557" w:rsidR="00D828C9" w:rsidRPr="0021250A" w:rsidRDefault="00FF3273">
      <w:pPr>
        <w:spacing w:before="80" w:after="80"/>
        <w:jc w:val="both"/>
        <w:rPr>
          <w:color w:val="000000" w:themeColor="text1"/>
        </w:rPr>
      </w:pPr>
      <w:r>
        <w:rPr>
          <w:color w:val="000000" w:themeColor="text1"/>
        </w:rPr>
        <w:lastRenderedPageBreak/>
        <w:t xml:space="preserve">In contrast, rural areas are dominated by Tripod stoves (47.6%), </w:t>
      </w:r>
      <w:proofErr w:type="spellStart"/>
      <w:r>
        <w:rPr>
          <w:color w:val="000000" w:themeColor="text1"/>
        </w:rPr>
        <w:t>TaoCement</w:t>
      </w:r>
      <w:proofErr w:type="spellEnd"/>
      <w:r>
        <w:rPr>
          <w:color w:val="000000" w:themeColor="text1"/>
        </w:rPr>
        <w:t xml:space="preserve"> (22.3%), and </w:t>
      </w:r>
      <w:proofErr w:type="spellStart"/>
      <w:r>
        <w:rPr>
          <w:color w:val="000000" w:themeColor="text1"/>
        </w:rPr>
        <w:t>TaoDam</w:t>
      </w:r>
      <w:proofErr w:type="spellEnd"/>
      <w:r>
        <w:rPr>
          <w:color w:val="000000" w:themeColor="text1"/>
        </w:rPr>
        <w:t xml:space="preserve"> (15.3%). ICS penetration remains low, ICS WS-3 at 6.6% and ICS PPT-3 at 3.3%, and electric cooking reaches only 2.4% of rural households. This urban–rural gap underscores the need for targeted rural interventions and reflects the limited reach of market-based distribution channels into remote communities.</w:t>
      </w:r>
    </w:p>
    <w:p w14:paraId="6E3C5610" w14:textId="77777777" w:rsidR="00D828C9" w:rsidRPr="0021250A" w:rsidRDefault="00FF3273">
      <w:pPr>
        <w:spacing w:before="80" w:after="80"/>
        <w:jc w:val="both"/>
        <w:rPr>
          <w:color w:val="000000" w:themeColor="text1"/>
        </w:rPr>
      </w:pPr>
      <w:r>
        <w:rPr>
          <w:color w:val="000000" w:themeColor="text1"/>
        </w:rPr>
        <w:t>The spatial map (Figure 3) clearly illustrates the concentration of modern cooking technologies in the Vientiane Plain and along major road corridors in central and southern Laos, while the northern and eastern mountainous regions remain predominantly traditional. This spatial heterogeneity has important implications for intervention targeting.</w:t>
      </w:r>
    </w:p>
    <w:p w14:paraId="1BBE8D04" w14:textId="77777777" w:rsidR="00D828C9" w:rsidRPr="0021250A" w:rsidRDefault="00FF3273">
      <w:pPr>
        <w:rPr>
          <w:color w:val="000000" w:themeColor="text1"/>
        </w:rPr>
      </w:pPr>
      <w:r>
        <w:rPr>
          <w:color w:val="000000" w:themeColor="text1"/>
        </w:rPr>
        <w:br w:type="page"/>
      </w:r>
    </w:p>
    <w:p w14:paraId="783486D3" w14:textId="77777777" w:rsidR="00D828C9" w:rsidRPr="0021250A" w:rsidRDefault="00FF3273">
      <w:pPr>
        <w:pStyle w:val="Heading1"/>
        <w:rPr>
          <w:color w:val="000000" w:themeColor="text1"/>
        </w:rPr>
      </w:pPr>
      <w:bookmarkStart w:id="28" w:name="_Toc224610002"/>
      <w:r>
        <w:rPr>
          <w:color w:val="000000" w:themeColor="text1"/>
        </w:rPr>
        <w:lastRenderedPageBreak/>
        <w:t>5. Scenario Analysis: Clean Cooking Transition 2025–2030</w:t>
      </w:r>
      <w:bookmarkEnd w:id="28"/>
    </w:p>
    <w:p w14:paraId="12254B96" w14:textId="77777777" w:rsidR="00D828C9" w:rsidRPr="0021250A" w:rsidRDefault="00FF3273">
      <w:pPr>
        <w:pStyle w:val="Heading2"/>
        <w:rPr>
          <w:color w:val="000000" w:themeColor="text1"/>
        </w:rPr>
      </w:pPr>
      <w:bookmarkStart w:id="29" w:name="_Toc224610003"/>
      <w:r>
        <w:rPr>
          <w:color w:val="000000" w:themeColor="text1"/>
        </w:rPr>
        <w:t>5.1 Evolution of Technology Distribution</w:t>
      </w:r>
      <w:bookmarkEnd w:id="29"/>
    </w:p>
    <w:p w14:paraId="3BD16194" w14:textId="77777777" w:rsidR="00D828C9" w:rsidRPr="0021250A" w:rsidRDefault="00FF3273">
      <w:pPr>
        <w:spacing w:before="80" w:after="80"/>
        <w:jc w:val="both"/>
        <w:rPr>
          <w:color w:val="000000" w:themeColor="text1"/>
        </w:rPr>
      </w:pPr>
      <w:r>
        <w:rPr>
          <w:color w:val="000000" w:themeColor="text1"/>
        </w:rPr>
        <w:t>The scenario models a progressive transition across six annual timesteps. Figures 4–8 present the spatial distribution of cooking technologies for each projection year, illustrating the geographic spread of cleaner technologies.</w:t>
      </w:r>
    </w:p>
    <w:p w14:paraId="6A994B6C" w14:textId="77777777" w:rsidR="00D828C9" w:rsidRPr="0021250A" w:rsidRDefault="00D828C9">
      <w:pPr>
        <w:spacing w:before="40" w:after="40"/>
        <w:rPr>
          <w:color w:val="000000" w:themeColor="text1"/>
        </w:rPr>
      </w:pPr>
    </w:p>
    <w:p w14:paraId="15EF5437" w14:textId="77777777" w:rsidR="00D828C9" w:rsidRPr="0021250A" w:rsidRDefault="00FF3273">
      <w:pPr>
        <w:pStyle w:val="Heading3"/>
        <w:rPr>
          <w:color w:val="000000" w:themeColor="text1"/>
        </w:rPr>
      </w:pPr>
      <w:bookmarkStart w:id="30" w:name="_Toc224610004"/>
      <w:r>
        <w:rPr>
          <w:color w:val="000000" w:themeColor="text1"/>
        </w:rPr>
        <w:t>5.1.1 Scenario 2026</w:t>
      </w:r>
      <w:bookmarkEnd w:id="30"/>
    </w:p>
    <w:p w14:paraId="197E7DA0"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4E9175A1" wp14:editId="3D5A7E06">
            <wp:extent cx="6372225" cy="4981575"/>
            <wp:effectExtent l="0" t="0" r="0" b="0"/>
            <wp:docPr id="2032075458" name="Picture 203207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6372225" cy="4981575"/>
                    </a:xfrm>
                    <a:prstGeom prst="rect">
                      <a:avLst/>
                    </a:prstGeom>
                  </pic:spPr>
                </pic:pic>
              </a:graphicData>
            </a:graphic>
          </wp:inline>
        </w:drawing>
      </w:r>
    </w:p>
    <w:p w14:paraId="24A62D15" w14:textId="77777777" w:rsidR="00D828C9" w:rsidRPr="0021250A" w:rsidRDefault="00FF3273">
      <w:pPr>
        <w:spacing w:before="60" w:after="120"/>
        <w:jc w:val="center"/>
        <w:rPr>
          <w:color w:val="000000" w:themeColor="text1"/>
        </w:rPr>
      </w:pPr>
      <w:r>
        <w:rPr>
          <w:i/>
          <w:iCs/>
          <w:color w:val="000000" w:themeColor="text1"/>
          <w:sz w:val="20"/>
          <w:szCs w:val="20"/>
        </w:rPr>
        <w:t>Figure 4. Spatial Distribution of Cooking Technologies — Scenario 2026. ICS WS-3: 9.1%; ICS PPT-3: 4.0%; Electricity: 4.1%; Tripod stove: 46.6%.</w:t>
      </w:r>
    </w:p>
    <w:p w14:paraId="161C3CD3" w14:textId="1085DB92" w:rsidR="00D828C9" w:rsidRPr="0021250A" w:rsidRDefault="00FF3273">
      <w:pPr>
        <w:spacing w:before="80" w:after="80"/>
        <w:jc w:val="both"/>
        <w:rPr>
          <w:color w:val="000000" w:themeColor="text1"/>
        </w:rPr>
      </w:pPr>
      <w:r>
        <w:rPr>
          <w:color w:val="000000" w:themeColor="text1"/>
        </w:rPr>
        <w:t xml:space="preserve">In 2026, tripod stove use </w:t>
      </w:r>
      <w:proofErr w:type="gramStart"/>
      <w:r>
        <w:rPr>
          <w:color w:val="000000" w:themeColor="text1"/>
        </w:rPr>
        <w:t>declines</w:t>
      </w:r>
      <w:proofErr w:type="gramEnd"/>
      <w:r>
        <w:rPr>
          <w:color w:val="000000" w:themeColor="text1"/>
        </w:rPr>
        <w:t xml:space="preserve"> to 46.6% nationally, driven primarily by urban elimination (0.0% in urban areas) and initial rural ICS distribution. ICS WS-3 grows to 9.1% nationally, with strong urban uptake (14.8%). Electric cooking accounts for 4.1% nationally (13.3% in urban areas), reflecting grid expansion in provincial capitals. </w:t>
      </w:r>
      <w:proofErr w:type="spellStart"/>
      <w:r>
        <w:rPr>
          <w:color w:val="000000" w:themeColor="text1"/>
        </w:rPr>
        <w:t>TaoCement</w:t>
      </w:r>
      <w:proofErr w:type="spellEnd"/>
      <w:r>
        <w:rPr>
          <w:color w:val="000000" w:themeColor="text1"/>
        </w:rPr>
        <w:t xml:space="preserve"> remains the primary transitional technology in urban areas at 35.0%.</w:t>
      </w:r>
    </w:p>
    <w:p w14:paraId="545614FC" w14:textId="77777777" w:rsidR="00D828C9" w:rsidRPr="0021250A" w:rsidRDefault="00D828C9">
      <w:pPr>
        <w:spacing w:before="40" w:after="40"/>
        <w:rPr>
          <w:color w:val="000000" w:themeColor="text1"/>
        </w:rPr>
      </w:pPr>
    </w:p>
    <w:p w14:paraId="056FF971" w14:textId="77777777" w:rsidR="00D828C9" w:rsidRPr="0021250A" w:rsidRDefault="00FF3273">
      <w:pPr>
        <w:pStyle w:val="Heading3"/>
        <w:rPr>
          <w:color w:val="000000" w:themeColor="text1"/>
        </w:rPr>
      </w:pPr>
      <w:bookmarkStart w:id="31" w:name="_Toc224610005"/>
      <w:r>
        <w:rPr>
          <w:color w:val="000000" w:themeColor="text1"/>
        </w:rPr>
        <w:t>5.1.2 Scenario 2027</w:t>
      </w:r>
      <w:bookmarkEnd w:id="31"/>
    </w:p>
    <w:p w14:paraId="33C11B20" w14:textId="77777777" w:rsidR="00D828C9" w:rsidRPr="0021250A" w:rsidRDefault="00FF3273">
      <w:pPr>
        <w:spacing w:before="100" w:after="60"/>
        <w:jc w:val="center"/>
        <w:rPr>
          <w:color w:val="000000" w:themeColor="text1"/>
        </w:rPr>
      </w:pPr>
      <w:r>
        <w:rPr>
          <w:noProof/>
          <w:color w:val="000000" w:themeColor="text1"/>
        </w:rPr>
        <w:lastRenderedPageBreak/>
        <w:drawing>
          <wp:inline distT="0" distB="0" distL="0" distR="0" wp14:anchorId="53A19288" wp14:editId="787F49E3">
            <wp:extent cx="6372225" cy="4981575"/>
            <wp:effectExtent l="0" t="0" r="0" b="0"/>
            <wp:docPr id="1457020080" name="Picture 145702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6372225" cy="4981575"/>
                    </a:xfrm>
                    <a:prstGeom prst="rect">
                      <a:avLst/>
                    </a:prstGeom>
                  </pic:spPr>
                </pic:pic>
              </a:graphicData>
            </a:graphic>
          </wp:inline>
        </w:drawing>
      </w:r>
    </w:p>
    <w:p w14:paraId="123A6183" w14:textId="77777777" w:rsidR="00D828C9" w:rsidRPr="0021250A" w:rsidRDefault="00FF3273">
      <w:pPr>
        <w:spacing w:before="60" w:after="120"/>
        <w:jc w:val="center"/>
        <w:rPr>
          <w:color w:val="000000" w:themeColor="text1"/>
        </w:rPr>
      </w:pPr>
      <w:r>
        <w:rPr>
          <w:i/>
          <w:iCs/>
          <w:color w:val="000000" w:themeColor="text1"/>
          <w:sz w:val="20"/>
          <w:szCs w:val="20"/>
        </w:rPr>
        <w:t>Figure 5. Spatial Distribution of Cooking Technologies — Scenario 2027. ICS WS-3: 11.1%; ICS PPT-3: 6.1%; Electricity: 4.9%; Tripod stove: 44.7%.</w:t>
      </w:r>
    </w:p>
    <w:p w14:paraId="64BB8B9F" w14:textId="77777777" w:rsidR="00D828C9" w:rsidRPr="0021250A" w:rsidRDefault="00FF3273">
      <w:pPr>
        <w:spacing w:before="80" w:after="80"/>
        <w:jc w:val="both"/>
        <w:rPr>
          <w:color w:val="000000" w:themeColor="text1"/>
        </w:rPr>
      </w:pPr>
      <w:r>
        <w:rPr>
          <w:color w:val="000000" w:themeColor="text1"/>
        </w:rPr>
        <w:t xml:space="preserve">By 2027, ICS PPT-3 achieves significant growth, reaching 6.1% nationally as pellet supply chains establish in provincial towns. ICS WS-3 reaches 11.1% nationally and 19.9% in urban areas. Tripod stoves decline to 44.7% nationally and 44.9% in rural areas, reflecting the cumulative effect of ICS distribution </w:t>
      </w:r>
      <w:proofErr w:type="spellStart"/>
      <w:r>
        <w:rPr>
          <w:color w:val="000000" w:themeColor="text1"/>
        </w:rPr>
        <w:t>programmes</w:t>
      </w:r>
      <w:proofErr w:type="spellEnd"/>
      <w:r>
        <w:rPr>
          <w:color w:val="000000" w:themeColor="text1"/>
        </w:rPr>
        <w:t xml:space="preserve">. </w:t>
      </w:r>
      <w:proofErr w:type="spellStart"/>
      <w:r>
        <w:rPr>
          <w:color w:val="000000" w:themeColor="text1"/>
        </w:rPr>
        <w:t>TaoDam</w:t>
      </w:r>
      <w:proofErr w:type="spellEnd"/>
      <w:r>
        <w:rPr>
          <w:color w:val="000000" w:themeColor="text1"/>
        </w:rPr>
        <w:t xml:space="preserve"> begins declining in urban areas (10.2%) as households upgrade to ICS.</w:t>
      </w:r>
    </w:p>
    <w:p w14:paraId="09E832F9" w14:textId="77777777" w:rsidR="00D828C9" w:rsidRPr="0021250A" w:rsidRDefault="00D828C9">
      <w:pPr>
        <w:spacing w:before="40" w:after="40"/>
        <w:rPr>
          <w:color w:val="000000" w:themeColor="text1"/>
        </w:rPr>
      </w:pPr>
    </w:p>
    <w:p w14:paraId="2BF836A0" w14:textId="77777777" w:rsidR="00D828C9" w:rsidRPr="0021250A" w:rsidRDefault="00FF3273">
      <w:pPr>
        <w:pStyle w:val="Heading3"/>
        <w:rPr>
          <w:color w:val="000000" w:themeColor="text1"/>
        </w:rPr>
      </w:pPr>
      <w:bookmarkStart w:id="32" w:name="_Toc224610006"/>
      <w:r>
        <w:rPr>
          <w:color w:val="000000" w:themeColor="text1"/>
        </w:rPr>
        <w:t>5.1.3 Scenario 2028</w:t>
      </w:r>
      <w:bookmarkEnd w:id="32"/>
    </w:p>
    <w:p w14:paraId="6C546C7E" w14:textId="77777777" w:rsidR="00D828C9" w:rsidRPr="0021250A" w:rsidRDefault="00FF3273">
      <w:pPr>
        <w:spacing w:before="100" w:after="60"/>
        <w:jc w:val="center"/>
        <w:rPr>
          <w:color w:val="000000" w:themeColor="text1"/>
        </w:rPr>
      </w:pPr>
      <w:r>
        <w:rPr>
          <w:noProof/>
          <w:color w:val="000000" w:themeColor="text1"/>
        </w:rPr>
        <w:lastRenderedPageBreak/>
        <w:drawing>
          <wp:inline distT="0" distB="0" distL="0" distR="0" wp14:anchorId="46428B8A" wp14:editId="01F01390">
            <wp:extent cx="6372225" cy="4981575"/>
            <wp:effectExtent l="0" t="0" r="0" b="0"/>
            <wp:docPr id="166195976" name="Picture 16619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6372225" cy="4981575"/>
                    </a:xfrm>
                    <a:prstGeom prst="rect">
                      <a:avLst/>
                    </a:prstGeom>
                  </pic:spPr>
                </pic:pic>
              </a:graphicData>
            </a:graphic>
          </wp:inline>
        </w:drawing>
      </w:r>
    </w:p>
    <w:p w14:paraId="7DD30BD7" w14:textId="77777777" w:rsidR="00D828C9" w:rsidRPr="0021250A" w:rsidRDefault="00FF3273">
      <w:pPr>
        <w:spacing w:before="60" w:after="120"/>
        <w:jc w:val="center"/>
        <w:rPr>
          <w:color w:val="000000" w:themeColor="text1"/>
        </w:rPr>
      </w:pPr>
      <w:r>
        <w:rPr>
          <w:i/>
          <w:iCs/>
          <w:color w:val="000000" w:themeColor="text1"/>
          <w:sz w:val="20"/>
          <w:szCs w:val="20"/>
        </w:rPr>
        <w:t>Figure 6. Spatial Distribution of Cooking Technologies — Scenario 2028. ICS WS-3: 13.0%; ICS PPT-3: 8.1%; Electricity: 6.1%; Tripod stove: 42.3%.</w:t>
      </w:r>
    </w:p>
    <w:p w14:paraId="247A30DE" w14:textId="77777777" w:rsidR="00D828C9" w:rsidRPr="0021250A" w:rsidRDefault="00FF3273">
      <w:pPr>
        <w:spacing w:before="80" w:after="80"/>
        <w:jc w:val="both"/>
        <w:rPr>
          <w:color w:val="000000" w:themeColor="text1"/>
        </w:rPr>
      </w:pPr>
      <w:r>
        <w:rPr>
          <w:color w:val="000000" w:themeColor="text1"/>
        </w:rPr>
        <w:t xml:space="preserve">Scenario 2028 marks a notable acceleration in ICS PPT-3 adoption (8.1% nationally, 16.2% urban), suggesting that the pellet market reaches commercial viability. Electricity use grows to 6.1% nationally. </w:t>
      </w:r>
      <w:proofErr w:type="spellStart"/>
      <w:r>
        <w:rPr>
          <w:color w:val="000000" w:themeColor="text1"/>
        </w:rPr>
        <w:t>TaoPayat</w:t>
      </w:r>
      <w:proofErr w:type="spellEnd"/>
      <w:r>
        <w:rPr>
          <w:color w:val="000000" w:themeColor="text1"/>
        </w:rPr>
        <w:t xml:space="preserve"> stoves virtually disappear in urban areas (0.0%), while </w:t>
      </w:r>
      <w:proofErr w:type="spellStart"/>
      <w:r>
        <w:rPr>
          <w:color w:val="000000" w:themeColor="text1"/>
        </w:rPr>
        <w:t>TaoCement</w:t>
      </w:r>
      <w:proofErr w:type="spellEnd"/>
      <w:r>
        <w:rPr>
          <w:color w:val="000000" w:themeColor="text1"/>
        </w:rPr>
        <w:t xml:space="preserve"> remains the dominant intermediate technology in urban areas (34.9%). Rural tripod stove use declines to 42.9%.</w:t>
      </w:r>
    </w:p>
    <w:p w14:paraId="7EB16E91" w14:textId="77777777" w:rsidR="00D828C9" w:rsidRPr="0021250A" w:rsidRDefault="00D828C9">
      <w:pPr>
        <w:spacing w:before="40" w:after="40"/>
        <w:rPr>
          <w:color w:val="000000" w:themeColor="text1"/>
        </w:rPr>
      </w:pPr>
    </w:p>
    <w:p w14:paraId="77EB9A2C" w14:textId="77777777" w:rsidR="00D828C9" w:rsidRPr="0021250A" w:rsidRDefault="00FF3273">
      <w:pPr>
        <w:pStyle w:val="Heading3"/>
        <w:rPr>
          <w:color w:val="000000" w:themeColor="text1"/>
        </w:rPr>
      </w:pPr>
      <w:bookmarkStart w:id="33" w:name="_Toc224610007"/>
      <w:r>
        <w:rPr>
          <w:color w:val="000000" w:themeColor="text1"/>
        </w:rPr>
        <w:t>5.1.4 Scenario 2029</w:t>
      </w:r>
      <w:bookmarkEnd w:id="33"/>
    </w:p>
    <w:p w14:paraId="24868099" w14:textId="77777777" w:rsidR="00D828C9" w:rsidRPr="0021250A" w:rsidRDefault="00FF3273">
      <w:pPr>
        <w:spacing w:before="100" w:after="60"/>
        <w:jc w:val="center"/>
        <w:rPr>
          <w:color w:val="000000" w:themeColor="text1"/>
        </w:rPr>
      </w:pPr>
      <w:r>
        <w:rPr>
          <w:noProof/>
          <w:color w:val="000000" w:themeColor="text1"/>
        </w:rPr>
        <w:lastRenderedPageBreak/>
        <w:drawing>
          <wp:inline distT="0" distB="0" distL="0" distR="0" wp14:anchorId="722B3A66" wp14:editId="7F6C5902">
            <wp:extent cx="6372225" cy="4981575"/>
            <wp:effectExtent l="0" t="0" r="0" b="0"/>
            <wp:docPr id="1672397296" name="Picture 1672397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6372225" cy="4981575"/>
                    </a:xfrm>
                    <a:prstGeom prst="rect">
                      <a:avLst/>
                    </a:prstGeom>
                  </pic:spPr>
                </pic:pic>
              </a:graphicData>
            </a:graphic>
          </wp:inline>
        </w:drawing>
      </w:r>
    </w:p>
    <w:p w14:paraId="570035BD" w14:textId="77777777" w:rsidR="00D828C9" w:rsidRPr="0021250A" w:rsidRDefault="00FF3273">
      <w:pPr>
        <w:spacing w:before="60" w:after="120"/>
        <w:jc w:val="center"/>
        <w:rPr>
          <w:color w:val="000000" w:themeColor="text1"/>
        </w:rPr>
      </w:pPr>
      <w:r>
        <w:rPr>
          <w:i/>
          <w:iCs/>
          <w:color w:val="000000" w:themeColor="text1"/>
          <w:sz w:val="20"/>
          <w:szCs w:val="20"/>
        </w:rPr>
        <w:t>Figure 7. Spatial Distribution of Cooking Technologies — Scenario 2029. ICS WS-3: 15.2%; ICS PPT-3: 9.0%; Electricity: 7.1%; Tripod stove: 40.7%.</w:t>
      </w:r>
    </w:p>
    <w:p w14:paraId="3E1A6A6D" w14:textId="77777777" w:rsidR="00D828C9" w:rsidRPr="0021250A" w:rsidRDefault="00FF3273">
      <w:pPr>
        <w:spacing w:before="80" w:after="80"/>
        <w:jc w:val="both"/>
        <w:rPr>
          <w:color w:val="000000" w:themeColor="text1"/>
        </w:rPr>
      </w:pPr>
      <w:r>
        <w:rPr>
          <w:color w:val="000000" w:themeColor="text1"/>
        </w:rPr>
        <w:t xml:space="preserve">By 2029, ICS WS-3 becomes the second most common technology nationally (15.2%), surpassing </w:t>
      </w:r>
      <w:proofErr w:type="spellStart"/>
      <w:r>
        <w:rPr>
          <w:color w:val="000000" w:themeColor="text1"/>
        </w:rPr>
        <w:t>TaoDam</w:t>
      </w:r>
      <w:proofErr w:type="spellEnd"/>
      <w:r>
        <w:rPr>
          <w:color w:val="000000" w:themeColor="text1"/>
        </w:rPr>
        <w:t xml:space="preserve">. Electric cooking reaches 17.0% in urban areas, approaching parity with ICS WS-3 (23.0%) in urban areas. Rural tripod stoves decline to 41.3%, suggesting that ICS distribution is beginning to penetrate even the most remote communities. </w:t>
      </w:r>
      <w:proofErr w:type="spellStart"/>
      <w:r>
        <w:rPr>
          <w:color w:val="000000" w:themeColor="text1"/>
        </w:rPr>
        <w:t>TaoPayat</w:t>
      </w:r>
      <w:proofErr w:type="spellEnd"/>
      <w:r>
        <w:rPr>
          <w:color w:val="000000" w:themeColor="text1"/>
        </w:rPr>
        <w:t xml:space="preserve"> is effectively eliminated across the country (0.0% nationally).</w:t>
      </w:r>
    </w:p>
    <w:p w14:paraId="1671BE7A" w14:textId="77777777" w:rsidR="00D828C9" w:rsidRPr="0021250A" w:rsidRDefault="00D828C9">
      <w:pPr>
        <w:spacing w:before="40" w:after="40"/>
        <w:rPr>
          <w:color w:val="000000" w:themeColor="text1"/>
        </w:rPr>
      </w:pPr>
    </w:p>
    <w:p w14:paraId="24A510DC" w14:textId="77777777" w:rsidR="00D828C9" w:rsidRPr="0021250A" w:rsidRDefault="00FF3273">
      <w:pPr>
        <w:pStyle w:val="Heading3"/>
        <w:rPr>
          <w:color w:val="000000" w:themeColor="text1"/>
        </w:rPr>
      </w:pPr>
      <w:bookmarkStart w:id="34" w:name="_Toc224610008"/>
      <w:r>
        <w:rPr>
          <w:color w:val="000000" w:themeColor="text1"/>
        </w:rPr>
        <w:t>5.1.5 Scenario 2030</w:t>
      </w:r>
      <w:bookmarkEnd w:id="34"/>
    </w:p>
    <w:p w14:paraId="6B8486C9" w14:textId="77777777" w:rsidR="00D828C9" w:rsidRPr="0021250A" w:rsidRDefault="00FF3273">
      <w:pPr>
        <w:spacing w:before="100" w:after="60"/>
        <w:jc w:val="center"/>
        <w:rPr>
          <w:color w:val="000000" w:themeColor="text1"/>
        </w:rPr>
      </w:pPr>
      <w:r>
        <w:rPr>
          <w:noProof/>
          <w:color w:val="000000" w:themeColor="text1"/>
        </w:rPr>
        <w:lastRenderedPageBreak/>
        <w:drawing>
          <wp:inline distT="0" distB="0" distL="0" distR="0" wp14:anchorId="7A9F9F87" wp14:editId="58B7FD58">
            <wp:extent cx="6372225" cy="4981575"/>
            <wp:effectExtent l="0" t="0" r="0" b="0"/>
            <wp:docPr id="1721166882" name="Picture 1721166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6372225" cy="4981575"/>
                    </a:xfrm>
                    <a:prstGeom prst="rect">
                      <a:avLst/>
                    </a:prstGeom>
                  </pic:spPr>
                </pic:pic>
              </a:graphicData>
            </a:graphic>
          </wp:inline>
        </w:drawing>
      </w:r>
    </w:p>
    <w:p w14:paraId="5633B611" w14:textId="77777777" w:rsidR="00D828C9" w:rsidRPr="0021250A" w:rsidRDefault="00FF3273">
      <w:pPr>
        <w:spacing w:before="60" w:after="120"/>
        <w:jc w:val="center"/>
        <w:rPr>
          <w:color w:val="000000" w:themeColor="text1"/>
        </w:rPr>
      </w:pPr>
      <w:r>
        <w:rPr>
          <w:i/>
          <w:iCs/>
          <w:color w:val="000000" w:themeColor="text1"/>
          <w:sz w:val="20"/>
          <w:szCs w:val="20"/>
        </w:rPr>
        <w:t>Figure 8. Spatial Distribution of Cooking Technologies — Scenario 2030. ICS WS-3: 17.0%; ICS PPT-3: 10.1%; Electricity: 8.2%; Tripod stove: 38.7%.</w:t>
      </w:r>
    </w:p>
    <w:p w14:paraId="18DC9D7E" w14:textId="77777777" w:rsidR="00D828C9" w:rsidRPr="0021250A" w:rsidRDefault="00FF3273">
      <w:pPr>
        <w:spacing w:before="80" w:after="80"/>
        <w:jc w:val="both"/>
        <w:rPr>
          <w:color w:val="000000" w:themeColor="text1"/>
        </w:rPr>
      </w:pPr>
      <w:r>
        <w:rPr>
          <w:color w:val="000000" w:themeColor="text1"/>
        </w:rPr>
        <w:t xml:space="preserve">The 2030 scenario endpoint shows a substantially transformed technology landscape. Tripod stoves decline to 38.7% nationally and 39.1% in rural areas — a reduction of 13.2 percentage points from the baseline (51.9%). ICS WS-3 reaches 17.0% nationally and 23.6% in urban areas, making it the second largest technology category. ICS PPT-3 reaches 10.1% nationally (20.2% urban). Electric cooking achieves 8.2% nationally and 21.6% in urban areas. </w:t>
      </w:r>
      <w:proofErr w:type="spellStart"/>
      <w:r>
        <w:rPr>
          <w:color w:val="000000" w:themeColor="text1"/>
        </w:rPr>
        <w:t>TaoCement</w:t>
      </w:r>
      <w:proofErr w:type="spellEnd"/>
      <w:r>
        <w:rPr>
          <w:color w:val="000000" w:themeColor="text1"/>
        </w:rPr>
        <w:t xml:space="preserve"> declines to 16.0% nationally, reflecting household graduation to higher-tier technologies. </w:t>
      </w:r>
      <w:proofErr w:type="spellStart"/>
      <w:r>
        <w:rPr>
          <w:color w:val="000000" w:themeColor="text1"/>
        </w:rPr>
        <w:t>TaoDam</w:t>
      </w:r>
      <w:proofErr w:type="spellEnd"/>
      <w:r>
        <w:rPr>
          <w:color w:val="000000" w:themeColor="text1"/>
        </w:rPr>
        <w:t xml:space="preserve"> shrinks to 10.0% nationally and just 4.1% in urban areas.</w:t>
      </w:r>
    </w:p>
    <w:p w14:paraId="6292B327" w14:textId="77777777" w:rsidR="00D828C9" w:rsidRPr="0021250A" w:rsidRDefault="00FF3273">
      <w:pPr>
        <w:pStyle w:val="Heading2"/>
        <w:rPr>
          <w:color w:val="000000" w:themeColor="text1"/>
        </w:rPr>
      </w:pPr>
      <w:bookmarkStart w:id="35" w:name="_Toc224610009"/>
      <w:r>
        <w:rPr>
          <w:color w:val="000000" w:themeColor="text1"/>
        </w:rPr>
        <w:t>5.2 Key Outcome Metrics</w:t>
      </w:r>
      <w:bookmarkEnd w:id="35"/>
    </w:p>
    <w:p w14:paraId="30EFCAD7" w14:textId="77777777" w:rsidR="00D828C9" w:rsidRPr="0021250A" w:rsidRDefault="00FF3273">
      <w:pPr>
        <w:spacing w:before="80" w:after="80"/>
        <w:jc w:val="both"/>
        <w:rPr>
          <w:color w:val="000000" w:themeColor="text1"/>
        </w:rPr>
      </w:pPr>
      <w:r>
        <w:rPr>
          <w:color w:val="000000" w:themeColor="text1"/>
        </w:rPr>
        <w:t>Table 4 presents the annual scenario outcomes across the six projection years, covering investment requirements, energy consumption, deaths avoided, CO₂ reductions, time savings, and net economic gains.</w:t>
      </w:r>
    </w:p>
    <w:p w14:paraId="7A45749E" w14:textId="77777777" w:rsidR="00D828C9" w:rsidRPr="0021250A" w:rsidRDefault="00D828C9">
      <w:pPr>
        <w:spacing w:before="40" w:after="40"/>
        <w:rPr>
          <w:color w:val="000000" w:themeColor="text1"/>
        </w:rPr>
      </w:pPr>
    </w:p>
    <w:p w14:paraId="5597BB6C" w14:textId="77777777" w:rsidR="00D828C9" w:rsidRPr="0021250A" w:rsidRDefault="00FF3273">
      <w:pPr>
        <w:spacing w:before="80" w:after="40"/>
        <w:jc w:val="center"/>
        <w:rPr>
          <w:color w:val="000000" w:themeColor="text1"/>
        </w:rPr>
      </w:pPr>
      <w:r>
        <w:rPr>
          <w:b/>
          <w:bCs/>
          <w:color w:val="000000" w:themeColor="text1"/>
          <w:sz w:val="20"/>
          <w:szCs w:val="20"/>
        </w:rPr>
        <w:t>Table 4. Scenario Analysis Results 2025–2030</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00"/>
        <w:gridCol w:w="1550"/>
        <w:gridCol w:w="1400"/>
        <w:gridCol w:w="1300"/>
        <w:gridCol w:w="1700"/>
        <w:gridCol w:w="1450"/>
        <w:gridCol w:w="1338"/>
      </w:tblGrid>
      <w:tr w:rsidR="00D828C9" w:rsidRPr="0021250A" w14:paraId="74168D3C" w14:textId="77777777">
        <w:trPr>
          <w:tblHeader/>
        </w:trPr>
        <w:tc>
          <w:tcPr>
            <w:tcW w:w="9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38FDF8F9" w14:textId="77777777" w:rsidR="00D828C9" w:rsidRPr="0021250A" w:rsidRDefault="00FF3273">
            <w:pPr>
              <w:jc w:val="center"/>
              <w:rPr>
                <w:color w:val="000000" w:themeColor="text1"/>
              </w:rPr>
            </w:pPr>
            <w:r>
              <w:rPr>
                <w:b/>
                <w:bCs/>
                <w:color w:val="000000" w:themeColor="text1"/>
                <w:sz w:val="18"/>
                <w:szCs w:val="18"/>
              </w:rPr>
              <w:t>Year</w:t>
            </w:r>
          </w:p>
        </w:tc>
        <w:tc>
          <w:tcPr>
            <w:tcW w:w="155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02454107" w14:textId="77777777" w:rsidR="00D828C9" w:rsidRPr="0021250A" w:rsidRDefault="00FF3273">
            <w:pPr>
              <w:jc w:val="center"/>
              <w:rPr>
                <w:color w:val="000000" w:themeColor="text1"/>
              </w:rPr>
            </w:pPr>
            <w:r>
              <w:rPr>
                <w:b/>
                <w:bCs/>
                <w:color w:val="000000" w:themeColor="text1"/>
                <w:sz w:val="18"/>
                <w:szCs w:val="18"/>
              </w:rPr>
              <w:t>Investment (M.USD)</w:t>
            </w:r>
          </w:p>
        </w:tc>
        <w:tc>
          <w:tcPr>
            <w:tcW w:w="14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35DC517B" w14:textId="77777777" w:rsidR="00D828C9" w:rsidRPr="0021250A" w:rsidRDefault="00FF3273">
            <w:pPr>
              <w:jc w:val="center"/>
              <w:rPr>
                <w:color w:val="000000" w:themeColor="text1"/>
              </w:rPr>
            </w:pPr>
            <w:r>
              <w:rPr>
                <w:b/>
                <w:bCs/>
                <w:color w:val="000000" w:themeColor="text1"/>
                <w:sz w:val="18"/>
                <w:szCs w:val="18"/>
              </w:rPr>
              <w:t>Energy Use (TJ/yr)</w:t>
            </w:r>
          </w:p>
        </w:tc>
        <w:tc>
          <w:tcPr>
            <w:tcW w:w="13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602EAE68" w14:textId="77777777" w:rsidR="00D828C9" w:rsidRPr="0021250A" w:rsidRDefault="00FF3273">
            <w:pPr>
              <w:jc w:val="center"/>
              <w:rPr>
                <w:color w:val="000000" w:themeColor="text1"/>
              </w:rPr>
            </w:pPr>
            <w:r>
              <w:rPr>
                <w:b/>
                <w:bCs/>
                <w:color w:val="000000" w:themeColor="text1"/>
                <w:sz w:val="18"/>
                <w:szCs w:val="18"/>
              </w:rPr>
              <w:t>Deaths Avoided</w:t>
            </w:r>
          </w:p>
        </w:tc>
        <w:tc>
          <w:tcPr>
            <w:tcW w:w="170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79E5AAA3" w14:textId="77777777" w:rsidR="00D828C9" w:rsidRPr="0021250A" w:rsidRDefault="00FF3273">
            <w:pPr>
              <w:jc w:val="center"/>
              <w:rPr>
                <w:color w:val="000000" w:themeColor="text1"/>
              </w:rPr>
            </w:pPr>
            <w:r>
              <w:rPr>
                <w:b/>
                <w:bCs/>
                <w:color w:val="000000" w:themeColor="text1"/>
                <w:sz w:val="18"/>
                <w:szCs w:val="18"/>
              </w:rPr>
              <w:t>CO₂ Reduction (</w:t>
            </w:r>
            <w:proofErr w:type="spellStart"/>
            <w:proofErr w:type="gramStart"/>
            <w:r>
              <w:rPr>
                <w:b/>
                <w:bCs/>
                <w:color w:val="000000" w:themeColor="text1"/>
                <w:sz w:val="18"/>
                <w:szCs w:val="18"/>
              </w:rPr>
              <w:t>M.Tons</w:t>
            </w:r>
            <w:proofErr w:type="spellEnd"/>
            <w:proofErr w:type="gramEnd"/>
            <w:r>
              <w:rPr>
                <w:b/>
                <w:bCs/>
                <w:color w:val="000000" w:themeColor="text1"/>
                <w:sz w:val="18"/>
                <w:szCs w:val="18"/>
              </w:rPr>
              <w:t>)</w:t>
            </w:r>
          </w:p>
        </w:tc>
        <w:tc>
          <w:tcPr>
            <w:tcW w:w="1450"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7AD02DC4" w14:textId="77777777" w:rsidR="00D828C9" w:rsidRPr="0021250A" w:rsidRDefault="00FF3273">
            <w:pPr>
              <w:jc w:val="center"/>
              <w:rPr>
                <w:color w:val="000000" w:themeColor="text1"/>
              </w:rPr>
            </w:pPr>
            <w:r>
              <w:rPr>
                <w:b/>
                <w:bCs/>
                <w:color w:val="000000" w:themeColor="text1"/>
                <w:sz w:val="18"/>
                <w:szCs w:val="18"/>
              </w:rPr>
              <w:t>Time Saved (</w:t>
            </w:r>
            <w:proofErr w:type="spellStart"/>
            <w:r>
              <w:rPr>
                <w:b/>
                <w:bCs/>
                <w:color w:val="000000" w:themeColor="text1"/>
                <w:sz w:val="18"/>
                <w:szCs w:val="18"/>
              </w:rPr>
              <w:t>Hr</w:t>
            </w:r>
            <w:proofErr w:type="spellEnd"/>
            <w:r>
              <w:rPr>
                <w:b/>
                <w:bCs/>
                <w:color w:val="000000" w:themeColor="text1"/>
                <w:sz w:val="18"/>
                <w:szCs w:val="18"/>
              </w:rPr>
              <w:t>/day)</w:t>
            </w:r>
          </w:p>
        </w:tc>
        <w:tc>
          <w:tcPr>
            <w:tcW w:w="1338" w:type="dxa"/>
            <w:tcBorders>
              <w:top w:val="single" w:sz="1" w:space="0" w:color="CCCCCC"/>
              <w:left w:val="single" w:sz="1" w:space="0" w:color="CCCCCC"/>
              <w:bottom w:val="single" w:sz="1" w:space="0" w:color="CCCCCC"/>
              <w:right w:val="single" w:sz="1" w:space="0" w:color="CCCCCC"/>
            </w:tcBorders>
            <w:shd w:val="clear" w:color="auto" w:fill="1F4E79"/>
            <w:tcMar>
              <w:top w:w="80" w:type="dxa"/>
              <w:left w:w="100" w:type="dxa"/>
              <w:bottom w:w="80" w:type="dxa"/>
              <w:right w:w="100" w:type="dxa"/>
            </w:tcMar>
          </w:tcPr>
          <w:p w14:paraId="1F78B077" w14:textId="77777777" w:rsidR="00D828C9" w:rsidRPr="0021250A" w:rsidRDefault="00FF3273">
            <w:pPr>
              <w:jc w:val="center"/>
              <w:rPr>
                <w:color w:val="000000" w:themeColor="text1"/>
              </w:rPr>
            </w:pPr>
            <w:r>
              <w:rPr>
                <w:b/>
                <w:bCs/>
                <w:color w:val="000000" w:themeColor="text1"/>
                <w:sz w:val="18"/>
                <w:szCs w:val="18"/>
              </w:rPr>
              <w:t>Net Gains (M.USD)</w:t>
            </w:r>
          </w:p>
        </w:tc>
      </w:tr>
      <w:tr w:rsidR="00D828C9" w:rsidRPr="0021250A" w14:paraId="5B605B03" w14:textId="77777777">
        <w:tc>
          <w:tcPr>
            <w:tcW w:w="9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03525FE" w14:textId="77777777" w:rsidR="00D828C9" w:rsidRPr="0021250A" w:rsidRDefault="00FF3273">
            <w:pPr>
              <w:jc w:val="center"/>
              <w:rPr>
                <w:color w:val="000000" w:themeColor="text1"/>
              </w:rPr>
            </w:pPr>
            <w:r>
              <w:rPr>
                <w:color w:val="000000" w:themeColor="text1"/>
                <w:sz w:val="18"/>
                <w:szCs w:val="18"/>
              </w:rPr>
              <w:t>2025</w:t>
            </w:r>
          </w:p>
        </w:tc>
        <w:tc>
          <w:tcPr>
            <w:tcW w:w="15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31FF4A08" w14:textId="77777777" w:rsidR="00D828C9" w:rsidRPr="0021250A" w:rsidRDefault="00FF3273">
            <w:pPr>
              <w:jc w:val="center"/>
              <w:rPr>
                <w:color w:val="000000" w:themeColor="text1"/>
              </w:rPr>
            </w:pPr>
            <w:r>
              <w:rPr>
                <w:color w:val="000000" w:themeColor="text1"/>
                <w:sz w:val="18"/>
                <w:szCs w:val="18"/>
              </w:rPr>
              <w:t>3.18</w:t>
            </w:r>
          </w:p>
        </w:tc>
        <w:tc>
          <w:tcPr>
            <w:tcW w:w="14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9C7D6B2" w14:textId="77777777" w:rsidR="00D828C9" w:rsidRPr="0021250A" w:rsidRDefault="00FF3273">
            <w:pPr>
              <w:jc w:val="center"/>
              <w:rPr>
                <w:color w:val="000000" w:themeColor="text1"/>
              </w:rPr>
            </w:pPr>
            <w:r>
              <w:rPr>
                <w:color w:val="000000" w:themeColor="text1"/>
                <w:sz w:val="18"/>
                <w:szCs w:val="18"/>
              </w:rPr>
              <w:t>11988</w:t>
            </w:r>
          </w:p>
        </w:tc>
        <w:tc>
          <w:tcPr>
            <w:tcW w:w="13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2843092" w14:textId="77777777" w:rsidR="00D828C9" w:rsidRPr="0021250A" w:rsidRDefault="00FF3273">
            <w:pPr>
              <w:jc w:val="center"/>
              <w:rPr>
                <w:color w:val="000000" w:themeColor="text1"/>
              </w:rPr>
            </w:pPr>
            <w:r>
              <w:rPr>
                <w:color w:val="000000" w:themeColor="text1"/>
                <w:sz w:val="18"/>
                <w:szCs w:val="18"/>
              </w:rPr>
              <w:t>2838</w:t>
            </w:r>
          </w:p>
        </w:tc>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4483CEF" w14:textId="77777777" w:rsidR="00D828C9" w:rsidRPr="0021250A" w:rsidRDefault="00FF3273">
            <w:pPr>
              <w:jc w:val="center"/>
              <w:rPr>
                <w:color w:val="000000" w:themeColor="text1"/>
              </w:rPr>
            </w:pPr>
            <w:r>
              <w:rPr>
                <w:color w:val="000000" w:themeColor="text1"/>
                <w:sz w:val="18"/>
                <w:szCs w:val="18"/>
              </w:rPr>
              <w:t>132.72</w:t>
            </w:r>
          </w:p>
        </w:tc>
        <w:tc>
          <w:tcPr>
            <w:tcW w:w="14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2568C3D" w14:textId="77777777" w:rsidR="00D828C9" w:rsidRPr="0021250A" w:rsidRDefault="00FF3273">
            <w:pPr>
              <w:jc w:val="center"/>
              <w:rPr>
                <w:color w:val="000000" w:themeColor="text1"/>
              </w:rPr>
            </w:pPr>
            <w:r>
              <w:rPr>
                <w:color w:val="000000" w:themeColor="text1"/>
                <w:sz w:val="18"/>
                <w:szCs w:val="18"/>
              </w:rPr>
              <w:t>4.95</w:t>
            </w:r>
          </w:p>
        </w:tc>
        <w:tc>
          <w:tcPr>
            <w:tcW w:w="13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D4F042E" w14:textId="77777777" w:rsidR="00D828C9" w:rsidRPr="0021250A" w:rsidRDefault="00FF3273">
            <w:pPr>
              <w:jc w:val="center"/>
              <w:rPr>
                <w:color w:val="000000" w:themeColor="text1"/>
              </w:rPr>
            </w:pPr>
            <w:r>
              <w:rPr>
                <w:color w:val="000000" w:themeColor="text1"/>
                <w:sz w:val="18"/>
                <w:szCs w:val="18"/>
              </w:rPr>
              <w:t>1191.31</w:t>
            </w:r>
          </w:p>
        </w:tc>
      </w:tr>
      <w:tr w:rsidR="00D828C9" w:rsidRPr="0021250A" w14:paraId="653B05DA" w14:textId="77777777">
        <w:tc>
          <w:tcPr>
            <w:tcW w:w="9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A905723" w14:textId="77777777" w:rsidR="00D828C9" w:rsidRPr="0021250A" w:rsidRDefault="00FF3273">
            <w:pPr>
              <w:jc w:val="center"/>
              <w:rPr>
                <w:color w:val="000000" w:themeColor="text1"/>
              </w:rPr>
            </w:pPr>
            <w:r>
              <w:rPr>
                <w:color w:val="000000" w:themeColor="text1"/>
                <w:sz w:val="18"/>
                <w:szCs w:val="18"/>
              </w:rPr>
              <w:t>2026</w:t>
            </w:r>
          </w:p>
        </w:tc>
        <w:tc>
          <w:tcPr>
            <w:tcW w:w="15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E6B9369" w14:textId="77777777" w:rsidR="00D828C9" w:rsidRPr="0021250A" w:rsidRDefault="00FF3273">
            <w:pPr>
              <w:jc w:val="center"/>
              <w:rPr>
                <w:color w:val="000000" w:themeColor="text1"/>
              </w:rPr>
            </w:pPr>
            <w:r>
              <w:rPr>
                <w:color w:val="000000" w:themeColor="text1"/>
                <w:sz w:val="18"/>
                <w:szCs w:val="18"/>
              </w:rPr>
              <w:t>3.9</w:t>
            </w:r>
          </w:p>
        </w:tc>
        <w:tc>
          <w:tcPr>
            <w:tcW w:w="14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7002F7BC" w14:textId="77777777" w:rsidR="00D828C9" w:rsidRPr="0021250A" w:rsidRDefault="00FF3273">
            <w:pPr>
              <w:jc w:val="center"/>
              <w:rPr>
                <w:color w:val="000000" w:themeColor="text1"/>
              </w:rPr>
            </w:pPr>
            <w:r>
              <w:rPr>
                <w:color w:val="000000" w:themeColor="text1"/>
                <w:sz w:val="18"/>
                <w:szCs w:val="18"/>
              </w:rPr>
              <w:t>11388</w:t>
            </w:r>
          </w:p>
        </w:tc>
        <w:tc>
          <w:tcPr>
            <w:tcW w:w="13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CE6EA46" w14:textId="77777777" w:rsidR="00D828C9" w:rsidRPr="0021250A" w:rsidRDefault="00FF3273">
            <w:pPr>
              <w:jc w:val="center"/>
              <w:rPr>
                <w:color w:val="000000" w:themeColor="text1"/>
              </w:rPr>
            </w:pPr>
            <w:r>
              <w:rPr>
                <w:color w:val="000000" w:themeColor="text1"/>
                <w:sz w:val="18"/>
                <w:szCs w:val="18"/>
              </w:rPr>
              <w:t>2846</w:t>
            </w:r>
          </w:p>
        </w:tc>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1B64664" w14:textId="77777777" w:rsidR="00D828C9" w:rsidRPr="0021250A" w:rsidRDefault="00FF3273">
            <w:pPr>
              <w:jc w:val="center"/>
              <w:rPr>
                <w:color w:val="000000" w:themeColor="text1"/>
              </w:rPr>
            </w:pPr>
            <w:r>
              <w:rPr>
                <w:color w:val="000000" w:themeColor="text1"/>
                <w:sz w:val="18"/>
                <w:szCs w:val="18"/>
              </w:rPr>
              <w:t>132.81</w:t>
            </w:r>
          </w:p>
        </w:tc>
        <w:tc>
          <w:tcPr>
            <w:tcW w:w="14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8B71E54" w14:textId="77777777" w:rsidR="00D828C9" w:rsidRPr="0021250A" w:rsidRDefault="00FF3273">
            <w:pPr>
              <w:jc w:val="center"/>
              <w:rPr>
                <w:color w:val="000000" w:themeColor="text1"/>
              </w:rPr>
            </w:pPr>
            <w:r>
              <w:rPr>
                <w:color w:val="000000" w:themeColor="text1"/>
                <w:sz w:val="18"/>
                <w:szCs w:val="18"/>
              </w:rPr>
              <w:t>5.01</w:t>
            </w:r>
          </w:p>
        </w:tc>
        <w:tc>
          <w:tcPr>
            <w:tcW w:w="13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413589B" w14:textId="77777777" w:rsidR="00D828C9" w:rsidRPr="0021250A" w:rsidRDefault="00FF3273">
            <w:pPr>
              <w:jc w:val="center"/>
              <w:rPr>
                <w:color w:val="000000" w:themeColor="text1"/>
              </w:rPr>
            </w:pPr>
            <w:r>
              <w:rPr>
                <w:color w:val="000000" w:themeColor="text1"/>
                <w:sz w:val="18"/>
                <w:szCs w:val="18"/>
              </w:rPr>
              <w:t>1214.59</w:t>
            </w:r>
          </w:p>
        </w:tc>
      </w:tr>
      <w:tr w:rsidR="00D828C9" w:rsidRPr="0021250A" w14:paraId="429A899A" w14:textId="77777777">
        <w:tc>
          <w:tcPr>
            <w:tcW w:w="9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45C6A58" w14:textId="77777777" w:rsidR="00D828C9" w:rsidRPr="0021250A" w:rsidRDefault="00FF3273">
            <w:pPr>
              <w:jc w:val="center"/>
              <w:rPr>
                <w:color w:val="000000" w:themeColor="text1"/>
              </w:rPr>
            </w:pPr>
            <w:r>
              <w:rPr>
                <w:color w:val="000000" w:themeColor="text1"/>
                <w:sz w:val="18"/>
                <w:szCs w:val="18"/>
              </w:rPr>
              <w:t>2027</w:t>
            </w:r>
          </w:p>
        </w:tc>
        <w:tc>
          <w:tcPr>
            <w:tcW w:w="15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86865E6" w14:textId="77777777" w:rsidR="00D828C9" w:rsidRPr="0021250A" w:rsidRDefault="00FF3273">
            <w:pPr>
              <w:jc w:val="center"/>
              <w:rPr>
                <w:color w:val="000000" w:themeColor="text1"/>
              </w:rPr>
            </w:pPr>
            <w:r>
              <w:rPr>
                <w:color w:val="000000" w:themeColor="text1"/>
                <w:sz w:val="18"/>
                <w:szCs w:val="18"/>
              </w:rPr>
              <w:t>4.62</w:t>
            </w:r>
          </w:p>
        </w:tc>
        <w:tc>
          <w:tcPr>
            <w:tcW w:w="14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2819D750" w14:textId="77777777" w:rsidR="00D828C9" w:rsidRPr="0021250A" w:rsidRDefault="00FF3273">
            <w:pPr>
              <w:jc w:val="center"/>
              <w:rPr>
                <w:color w:val="000000" w:themeColor="text1"/>
              </w:rPr>
            </w:pPr>
            <w:r>
              <w:rPr>
                <w:color w:val="000000" w:themeColor="text1"/>
                <w:sz w:val="18"/>
                <w:szCs w:val="18"/>
              </w:rPr>
              <w:t>10789</w:t>
            </w:r>
          </w:p>
        </w:tc>
        <w:tc>
          <w:tcPr>
            <w:tcW w:w="13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265D8BB" w14:textId="77777777" w:rsidR="00D828C9" w:rsidRPr="0021250A" w:rsidRDefault="00FF3273">
            <w:pPr>
              <w:jc w:val="center"/>
              <w:rPr>
                <w:color w:val="000000" w:themeColor="text1"/>
              </w:rPr>
            </w:pPr>
            <w:r>
              <w:rPr>
                <w:color w:val="000000" w:themeColor="text1"/>
                <w:sz w:val="18"/>
                <w:szCs w:val="18"/>
              </w:rPr>
              <w:t>2854</w:t>
            </w:r>
          </w:p>
        </w:tc>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838280C" w14:textId="77777777" w:rsidR="00D828C9" w:rsidRPr="0021250A" w:rsidRDefault="00FF3273">
            <w:pPr>
              <w:jc w:val="center"/>
              <w:rPr>
                <w:color w:val="000000" w:themeColor="text1"/>
              </w:rPr>
            </w:pPr>
            <w:r>
              <w:rPr>
                <w:color w:val="000000" w:themeColor="text1"/>
                <w:sz w:val="18"/>
                <w:szCs w:val="18"/>
              </w:rPr>
              <w:t>132.9</w:t>
            </w:r>
          </w:p>
        </w:tc>
        <w:tc>
          <w:tcPr>
            <w:tcW w:w="14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3D650AFC" w14:textId="77777777" w:rsidR="00D828C9" w:rsidRPr="0021250A" w:rsidRDefault="00FF3273">
            <w:pPr>
              <w:jc w:val="center"/>
              <w:rPr>
                <w:color w:val="000000" w:themeColor="text1"/>
              </w:rPr>
            </w:pPr>
            <w:r>
              <w:rPr>
                <w:color w:val="000000" w:themeColor="text1"/>
                <w:sz w:val="18"/>
                <w:szCs w:val="18"/>
              </w:rPr>
              <w:t>5.056</w:t>
            </w:r>
          </w:p>
        </w:tc>
        <w:tc>
          <w:tcPr>
            <w:tcW w:w="13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68633FFC" w14:textId="77777777" w:rsidR="00D828C9" w:rsidRPr="0021250A" w:rsidRDefault="00FF3273">
            <w:pPr>
              <w:jc w:val="center"/>
              <w:rPr>
                <w:color w:val="000000" w:themeColor="text1"/>
              </w:rPr>
            </w:pPr>
            <w:r>
              <w:rPr>
                <w:color w:val="000000" w:themeColor="text1"/>
                <w:sz w:val="18"/>
                <w:szCs w:val="18"/>
              </w:rPr>
              <w:t>1237.87</w:t>
            </w:r>
          </w:p>
        </w:tc>
      </w:tr>
      <w:tr w:rsidR="00D828C9" w:rsidRPr="0021250A" w14:paraId="019673E6" w14:textId="77777777">
        <w:tc>
          <w:tcPr>
            <w:tcW w:w="9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3D9DB7BB" w14:textId="77777777" w:rsidR="00D828C9" w:rsidRPr="0021250A" w:rsidRDefault="00FF3273">
            <w:pPr>
              <w:jc w:val="center"/>
              <w:rPr>
                <w:color w:val="000000" w:themeColor="text1"/>
              </w:rPr>
            </w:pPr>
            <w:r>
              <w:rPr>
                <w:color w:val="000000" w:themeColor="text1"/>
                <w:sz w:val="18"/>
                <w:szCs w:val="18"/>
              </w:rPr>
              <w:t>2028</w:t>
            </w:r>
          </w:p>
        </w:tc>
        <w:tc>
          <w:tcPr>
            <w:tcW w:w="15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69E5227" w14:textId="77777777" w:rsidR="00D828C9" w:rsidRPr="0021250A" w:rsidRDefault="00FF3273">
            <w:pPr>
              <w:jc w:val="center"/>
              <w:rPr>
                <w:color w:val="000000" w:themeColor="text1"/>
              </w:rPr>
            </w:pPr>
            <w:r>
              <w:rPr>
                <w:color w:val="000000" w:themeColor="text1"/>
                <w:sz w:val="18"/>
                <w:szCs w:val="18"/>
              </w:rPr>
              <w:t>5.29</w:t>
            </w:r>
          </w:p>
        </w:tc>
        <w:tc>
          <w:tcPr>
            <w:tcW w:w="14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2C29E79" w14:textId="77777777" w:rsidR="00D828C9" w:rsidRPr="0021250A" w:rsidRDefault="00FF3273">
            <w:pPr>
              <w:jc w:val="center"/>
              <w:rPr>
                <w:color w:val="000000" w:themeColor="text1"/>
              </w:rPr>
            </w:pPr>
            <w:r>
              <w:rPr>
                <w:color w:val="000000" w:themeColor="text1"/>
                <w:sz w:val="18"/>
                <w:szCs w:val="18"/>
              </w:rPr>
              <w:t>10190</w:t>
            </w:r>
          </w:p>
        </w:tc>
        <w:tc>
          <w:tcPr>
            <w:tcW w:w="13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F466EE8" w14:textId="77777777" w:rsidR="00D828C9" w:rsidRPr="0021250A" w:rsidRDefault="00FF3273">
            <w:pPr>
              <w:jc w:val="center"/>
              <w:rPr>
                <w:color w:val="000000" w:themeColor="text1"/>
              </w:rPr>
            </w:pPr>
            <w:r>
              <w:rPr>
                <w:color w:val="000000" w:themeColor="text1"/>
                <w:sz w:val="18"/>
                <w:szCs w:val="18"/>
              </w:rPr>
              <w:t>2862</w:t>
            </w:r>
          </w:p>
        </w:tc>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C19AA27" w14:textId="77777777" w:rsidR="00D828C9" w:rsidRPr="0021250A" w:rsidRDefault="00FF3273">
            <w:pPr>
              <w:jc w:val="center"/>
              <w:rPr>
                <w:color w:val="000000" w:themeColor="text1"/>
              </w:rPr>
            </w:pPr>
            <w:r>
              <w:rPr>
                <w:color w:val="000000" w:themeColor="text1"/>
                <w:sz w:val="18"/>
                <w:szCs w:val="18"/>
              </w:rPr>
              <w:t>132.99</w:t>
            </w:r>
          </w:p>
        </w:tc>
        <w:tc>
          <w:tcPr>
            <w:tcW w:w="14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FA154E9" w14:textId="77777777" w:rsidR="00D828C9" w:rsidRPr="0021250A" w:rsidRDefault="00FF3273">
            <w:pPr>
              <w:jc w:val="center"/>
              <w:rPr>
                <w:color w:val="000000" w:themeColor="text1"/>
              </w:rPr>
            </w:pPr>
            <w:r>
              <w:rPr>
                <w:color w:val="000000" w:themeColor="text1"/>
                <w:sz w:val="18"/>
                <w:szCs w:val="18"/>
              </w:rPr>
              <w:t>5.102</w:t>
            </w:r>
          </w:p>
        </w:tc>
        <w:tc>
          <w:tcPr>
            <w:tcW w:w="13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1B435812" w14:textId="77777777" w:rsidR="00D828C9" w:rsidRPr="0021250A" w:rsidRDefault="00FF3273">
            <w:pPr>
              <w:jc w:val="center"/>
              <w:rPr>
                <w:color w:val="000000" w:themeColor="text1"/>
              </w:rPr>
            </w:pPr>
            <w:r>
              <w:rPr>
                <w:color w:val="000000" w:themeColor="text1"/>
                <w:sz w:val="18"/>
                <w:szCs w:val="18"/>
              </w:rPr>
              <w:t>1261.2</w:t>
            </w:r>
          </w:p>
        </w:tc>
      </w:tr>
      <w:tr w:rsidR="00D828C9" w:rsidRPr="0021250A" w14:paraId="28513D60" w14:textId="77777777">
        <w:tc>
          <w:tcPr>
            <w:tcW w:w="9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03E8EB5E" w14:textId="77777777" w:rsidR="00D828C9" w:rsidRPr="0021250A" w:rsidRDefault="00FF3273">
            <w:pPr>
              <w:jc w:val="center"/>
              <w:rPr>
                <w:color w:val="000000" w:themeColor="text1"/>
              </w:rPr>
            </w:pPr>
            <w:r>
              <w:rPr>
                <w:color w:val="000000" w:themeColor="text1"/>
                <w:sz w:val="18"/>
                <w:szCs w:val="18"/>
              </w:rPr>
              <w:lastRenderedPageBreak/>
              <w:t>2029</w:t>
            </w:r>
          </w:p>
        </w:tc>
        <w:tc>
          <w:tcPr>
            <w:tcW w:w="15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99A1A18" w14:textId="77777777" w:rsidR="00D828C9" w:rsidRPr="0021250A" w:rsidRDefault="00FF3273">
            <w:pPr>
              <w:jc w:val="center"/>
              <w:rPr>
                <w:color w:val="000000" w:themeColor="text1"/>
              </w:rPr>
            </w:pPr>
            <w:r>
              <w:rPr>
                <w:color w:val="000000" w:themeColor="text1"/>
                <w:sz w:val="18"/>
                <w:szCs w:val="18"/>
              </w:rPr>
              <w:t>5.98</w:t>
            </w:r>
          </w:p>
        </w:tc>
        <w:tc>
          <w:tcPr>
            <w:tcW w:w="14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7E7B862" w14:textId="77777777" w:rsidR="00D828C9" w:rsidRPr="0021250A" w:rsidRDefault="00FF3273">
            <w:pPr>
              <w:jc w:val="center"/>
              <w:rPr>
                <w:color w:val="000000" w:themeColor="text1"/>
              </w:rPr>
            </w:pPr>
            <w:r>
              <w:rPr>
                <w:color w:val="000000" w:themeColor="text1"/>
                <w:sz w:val="18"/>
                <w:szCs w:val="18"/>
              </w:rPr>
              <w:t>9590</w:t>
            </w:r>
          </w:p>
        </w:tc>
        <w:tc>
          <w:tcPr>
            <w:tcW w:w="13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1F9961E0" w14:textId="77777777" w:rsidR="00D828C9" w:rsidRPr="0021250A" w:rsidRDefault="00FF3273">
            <w:pPr>
              <w:jc w:val="center"/>
              <w:rPr>
                <w:color w:val="000000" w:themeColor="text1"/>
              </w:rPr>
            </w:pPr>
            <w:r>
              <w:rPr>
                <w:color w:val="000000" w:themeColor="text1"/>
                <w:sz w:val="18"/>
                <w:szCs w:val="18"/>
              </w:rPr>
              <w:t>2870</w:t>
            </w:r>
          </w:p>
        </w:tc>
        <w:tc>
          <w:tcPr>
            <w:tcW w:w="17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5A4C84FF" w14:textId="77777777" w:rsidR="00D828C9" w:rsidRPr="0021250A" w:rsidRDefault="00FF3273">
            <w:pPr>
              <w:jc w:val="center"/>
              <w:rPr>
                <w:color w:val="000000" w:themeColor="text1"/>
              </w:rPr>
            </w:pPr>
            <w:r>
              <w:rPr>
                <w:color w:val="000000" w:themeColor="text1"/>
                <w:sz w:val="18"/>
                <w:szCs w:val="18"/>
              </w:rPr>
              <w:t>133.08</w:t>
            </w:r>
          </w:p>
        </w:tc>
        <w:tc>
          <w:tcPr>
            <w:tcW w:w="145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4497146F" w14:textId="77777777" w:rsidR="00D828C9" w:rsidRPr="0021250A" w:rsidRDefault="00FF3273">
            <w:pPr>
              <w:jc w:val="center"/>
              <w:rPr>
                <w:color w:val="000000" w:themeColor="text1"/>
              </w:rPr>
            </w:pPr>
            <w:r>
              <w:rPr>
                <w:color w:val="000000" w:themeColor="text1"/>
                <w:sz w:val="18"/>
                <w:szCs w:val="18"/>
              </w:rPr>
              <w:t>5.159</w:t>
            </w:r>
          </w:p>
        </w:tc>
        <w:tc>
          <w:tcPr>
            <w:tcW w:w="133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00" w:type="dxa"/>
              <w:bottom w:w="80" w:type="dxa"/>
              <w:right w:w="100" w:type="dxa"/>
            </w:tcMar>
          </w:tcPr>
          <w:p w14:paraId="72F7D271" w14:textId="77777777" w:rsidR="00D828C9" w:rsidRPr="0021250A" w:rsidRDefault="00FF3273">
            <w:pPr>
              <w:jc w:val="center"/>
              <w:rPr>
                <w:color w:val="000000" w:themeColor="text1"/>
              </w:rPr>
            </w:pPr>
            <w:r>
              <w:rPr>
                <w:color w:val="000000" w:themeColor="text1"/>
                <w:sz w:val="18"/>
                <w:szCs w:val="18"/>
              </w:rPr>
              <w:t>1284.51</w:t>
            </w:r>
          </w:p>
        </w:tc>
      </w:tr>
      <w:tr w:rsidR="00D828C9" w:rsidRPr="0021250A" w14:paraId="6A1C5707" w14:textId="77777777">
        <w:tc>
          <w:tcPr>
            <w:tcW w:w="9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4FAC5D52" w14:textId="77777777" w:rsidR="00D828C9" w:rsidRPr="0021250A" w:rsidRDefault="00FF3273">
            <w:pPr>
              <w:jc w:val="center"/>
              <w:rPr>
                <w:color w:val="000000" w:themeColor="text1"/>
              </w:rPr>
            </w:pPr>
            <w:r>
              <w:rPr>
                <w:color w:val="000000" w:themeColor="text1"/>
                <w:sz w:val="18"/>
                <w:szCs w:val="18"/>
              </w:rPr>
              <w:t>2030</w:t>
            </w:r>
          </w:p>
        </w:tc>
        <w:tc>
          <w:tcPr>
            <w:tcW w:w="15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284FDA4" w14:textId="77777777" w:rsidR="00D828C9" w:rsidRPr="0021250A" w:rsidRDefault="00FF3273">
            <w:pPr>
              <w:jc w:val="center"/>
              <w:rPr>
                <w:color w:val="000000" w:themeColor="text1"/>
              </w:rPr>
            </w:pPr>
            <w:r>
              <w:rPr>
                <w:color w:val="000000" w:themeColor="text1"/>
                <w:sz w:val="18"/>
                <w:szCs w:val="18"/>
              </w:rPr>
              <w:t>6.71</w:t>
            </w:r>
          </w:p>
        </w:tc>
        <w:tc>
          <w:tcPr>
            <w:tcW w:w="14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630330CD" w14:textId="77777777" w:rsidR="00D828C9" w:rsidRPr="0021250A" w:rsidRDefault="00FF3273">
            <w:pPr>
              <w:jc w:val="center"/>
              <w:rPr>
                <w:color w:val="000000" w:themeColor="text1"/>
              </w:rPr>
            </w:pPr>
            <w:r>
              <w:rPr>
                <w:color w:val="000000" w:themeColor="text1"/>
                <w:sz w:val="18"/>
                <w:szCs w:val="18"/>
              </w:rPr>
              <w:t>8991</w:t>
            </w:r>
          </w:p>
        </w:tc>
        <w:tc>
          <w:tcPr>
            <w:tcW w:w="13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0C741978" w14:textId="77777777" w:rsidR="00D828C9" w:rsidRPr="0021250A" w:rsidRDefault="00FF3273">
            <w:pPr>
              <w:jc w:val="center"/>
              <w:rPr>
                <w:color w:val="000000" w:themeColor="text1"/>
              </w:rPr>
            </w:pPr>
            <w:r>
              <w:rPr>
                <w:color w:val="000000" w:themeColor="text1"/>
                <w:sz w:val="18"/>
                <w:szCs w:val="18"/>
              </w:rPr>
              <w:t>2878</w:t>
            </w:r>
          </w:p>
        </w:tc>
        <w:tc>
          <w:tcPr>
            <w:tcW w:w="170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D01C0C5" w14:textId="77777777" w:rsidR="00D828C9" w:rsidRPr="0021250A" w:rsidRDefault="00FF3273">
            <w:pPr>
              <w:jc w:val="center"/>
              <w:rPr>
                <w:color w:val="000000" w:themeColor="text1"/>
              </w:rPr>
            </w:pPr>
            <w:r>
              <w:rPr>
                <w:color w:val="000000" w:themeColor="text1"/>
                <w:sz w:val="18"/>
                <w:szCs w:val="18"/>
              </w:rPr>
              <w:t>133.17</w:t>
            </w:r>
          </w:p>
        </w:tc>
        <w:tc>
          <w:tcPr>
            <w:tcW w:w="1450"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274D3DE7" w14:textId="77777777" w:rsidR="00D828C9" w:rsidRPr="0021250A" w:rsidRDefault="00FF3273">
            <w:pPr>
              <w:jc w:val="center"/>
              <w:rPr>
                <w:color w:val="000000" w:themeColor="text1"/>
              </w:rPr>
            </w:pPr>
            <w:r>
              <w:rPr>
                <w:color w:val="000000" w:themeColor="text1"/>
                <w:sz w:val="18"/>
                <w:szCs w:val="18"/>
              </w:rPr>
              <w:t>5.207</w:t>
            </w:r>
          </w:p>
        </w:tc>
        <w:tc>
          <w:tcPr>
            <w:tcW w:w="1338" w:type="dxa"/>
            <w:tcBorders>
              <w:top w:val="single" w:sz="1" w:space="0" w:color="CCCCCC"/>
              <w:left w:val="single" w:sz="1" w:space="0" w:color="CCCCCC"/>
              <w:bottom w:val="single" w:sz="1" w:space="0" w:color="CCCCCC"/>
              <w:right w:val="single" w:sz="1" w:space="0" w:color="CCCCCC"/>
            </w:tcBorders>
            <w:shd w:val="clear" w:color="auto" w:fill="EBF3FB"/>
            <w:tcMar>
              <w:top w:w="80" w:type="dxa"/>
              <w:left w:w="100" w:type="dxa"/>
              <w:bottom w:w="80" w:type="dxa"/>
              <w:right w:w="100" w:type="dxa"/>
            </w:tcMar>
          </w:tcPr>
          <w:p w14:paraId="594C95D1" w14:textId="77777777" w:rsidR="00D828C9" w:rsidRPr="0021250A" w:rsidRDefault="00FF3273">
            <w:pPr>
              <w:jc w:val="center"/>
              <w:rPr>
                <w:color w:val="000000" w:themeColor="text1"/>
              </w:rPr>
            </w:pPr>
            <w:r>
              <w:rPr>
                <w:color w:val="000000" w:themeColor="text1"/>
                <w:sz w:val="18"/>
                <w:szCs w:val="18"/>
              </w:rPr>
              <w:t>1307.78</w:t>
            </w:r>
          </w:p>
        </w:tc>
      </w:tr>
    </w:tbl>
    <w:p w14:paraId="5C439B28" w14:textId="77777777" w:rsidR="00D828C9" w:rsidRPr="0021250A" w:rsidRDefault="00FF3273">
      <w:pPr>
        <w:spacing w:before="60" w:after="120"/>
        <w:jc w:val="center"/>
        <w:rPr>
          <w:color w:val="000000" w:themeColor="text1"/>
        </w:rPr>
      </w:pPr>
      <w:r>
        <w:rPr>
          <w:i/>
          <w:iCs/>
          <w:color w:val="000000" w:themeColor="text1"/>
          <w:sz w:val="20"/>
          <w:szCs w:val="20"/>
        </w:rPr>
        <w:t xml:space="preserve">Source: </w:t>
      </w:r>
      <w:proofErr w:type="spellStart"/>
      <w:r>
        <w:rPr>
          <w:i/>
          <w:iCs/>
          <w:color w:val="000000" w:themeColor="text1"/>
          <w:sz w:val="20"/>
          <w:szCs w:val="20"/>
        </w:rPr>
        <w:t>OnStove</w:t>
      </w:r>
      <w:proofErr w:type="spellEnd"/>
      <w:r>
        <w:rPr>
          <w:i/>
          <w:iCs/>
          <w:color w:val="000000" w:themeColor="text1"/>
          <w:sz w:val="20"/>
          <w:szCs w:val="20"/>
        </w:rPr>
        <w:t xml:space="preserve"> model outputs (Scenario_Analysis_Results.xlsx). Deaths avoided are cumulative annual avoided premature </w:t>
      </w:r>
      <w:proofErr w:type="gramStart"/>
      <w:r>
        <w:rPr>
          <w:i/>
          <w:iCs/>
          <w:color w:val="000000" w:themeColor="text1"/>
          <w:sz w:val="20"/>
          <w:szCs w:val="20"/>
        </w:rPr>
        <w:t>deaths</w:t>
      </w:r>
      <w:proofErr w:type="gramEnd"/>
      <w:r>
        <w:rPr>
          <w:i/>
          <w:iCs/>
          <w:color w:val="000000" w:themeColor="text1"/>
          <w:sz w:val="20"/>
          <w:szCs w:val="20"/>
        </w:rPr>
        <w:t xml:space="preserve"> attributed to HAP reduction.</w:t>
      </w:r>
    </w:p>
    <w:p w14:paraId="28A431C9" w14:textId="77777777" w:rsidR="00D828C9" w:rsidRPr="0021250A" w:rsidRDefault="00FF3273">
      <w:pPr>
        <w:pStyle w:val="Heading2"/>
        <w:rPr>
          <w:color w:val="000000" w:themeColor="text1"/>
        </w:rPr>
      </w:pPr>
      <w:bookmarkStart w:id="36" w:name="_Toc224610010"/>
      <w:r>
        <w:rPr>
          <w:color w:val="000000" w:themeColor="text1"/>
        </w:rPr>
        <w:t>5.3 Investment Requirements</w:t>
      </w:r>
      <w:bookmarkEnd w:id="36"/>
    </w:p>
    <w:p w14:paraId="3E16C735" w14:textId="77777777" w:rsidR="00D828C9" w:rsidRPr="0021250A" w:rsidRDefault="00D828C9">
      <w:pPr>
        <w:spacing w:before="40" w:after="40"/>
        <w:rPr>
          <w:color w:val="000000" w:themeColor="text1"/>
        </w:rPr>
      </w:pPr>
    </w:p>
    <w:p w14:paraId="0AE51845"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257F0A30" wp14:editId="15B69886">
            <wp:extent cx="6372225" cy="3657600"/>
            <wp:effectExtent l="0" t="0" r="0" b="0"/>
            <wp:docPr id="1399198690" name="Picture 139919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6372225" cy="3657600"/>
                    </a:xfrm>
                    <a:prstGeom prst="rect">
                      <a:avLst/>
                    </a:prstGeom>
                  </pic:spPr>
                </pic:pic>
              </a:graphicData>
            </a:graphic>
          </wp:inline>
        </w:drawing>
      </w:r>
    </w:p>
    <w:p w14:paraId="11E0C4A5" w14:textId="77777777" w:rsidR="00D828C9" w:rsidRPr="0021250A" w:rsidRDefault="00FF3273">
      <w:pPr>
        <w:spacing w:before="60" w:after="120"/>
        <w:jc w:val="center"/>
        <w:rPr>
          <w:color w:val="000000" w:themeColor="text1"/>
        </w:rPr>
      </w:pPr>
      <w:r>
        <w:rPr>
          <w:i/>
          <w:iCs/>
          <w:color w:val="000000" w:themeColor="text1"/>
          <w:sz w:val="20"/>
          <w:szCs w:val="20"/>
        </w:rPr>
        <w:t xml:space="preserve">Figure 9. Total Annual Investment Cost (M.USD), 2025–2030. Investment scales from USD 3.18M in 2025 to USD 6.71M in 2030 as </w:t>
      </w:r>
      <w:proofErr w:type="spellStart"/>
      <w:r>
        <w:rPr>
          <w:i/>
          <w:iCs/>
          <w:color w:val="000000" w:themeColor="text1"/>
          <w:sz w:val="20"/>
          <w:szCs w:val="20"/>
        </w:rPr>
        <w:t>programme</w:t>
      </w:r>
      <w:proofErr w:type="spellEnd"/>
      <w:r>
        <w:rPr>
          <w:i/>
          <w:iCs/>
          <w:color w:val="000000" w:themeColor="text1"/>
          <w:sz w:val="20"/>
          <w:szCs w:val="20"/>
        </w:rPr>
        <w:t xml:space="preserve"> coverage expands.</w:t>
      </w:r>
    </w:p>
    <w:p w14:paraId="76E49C8B" w14:textId="77777777" w:rsidR="00D828C9" w:rsidRPr="0021250A" w:rsidRDefault="00D828C9">
      <w:pPr>
        <w:spacing w:before="40" w:after="40"/>
        <w:rPr>
          <w:color w:val="000000" w:themeColor="text1"/>
        </w:rPr>
      </w:pPr>
    </w:p>
    <w:p w14:paraId="3B567FF3" w14:textId="77777777" w:rsidR="00D828C9" w:rsidRPr="0021250A" w:rsidRDefault="00FF3273">
      <w:pPr>
        <w:spacing w:before="80" w:after="80"/>
        <w:jc w:val="both"/>
        <w:rPr>
          <w:color w:val="000000" w:themeColor="text1"/>
        </w:rPr>
      </w:pPr>
      <w:r>
        <w:rPr>
          <w:color w:val="000000" w:themeColor="text1"/>
        </w:rPr>
        <w:t xml:space="preserve">Total annual investment requirements scale from USD 3.18 million in 2025 to USD 6.71 million in 2030 (Figure 9), reflecting the expanding reach of ICS distribution </w:t>
      </w:r>
      <w:proofErr w:type="spellStart"/>
      <w:r>
        <w:rPr>
          <w:color w:val="000000" w:themeColor="text1"/>
        </w:rPr>
        <w:t>programmes</w:t>
      </w:r>
      <w:proofErr w:type="spellEnd"/>
      <w:r>
        <w:rPr>
          <w:color w:val="000000" w:themeColor="text1"/>
        </w:rPr>
        <w:t xml:space="preserve"> and the higher per-unit cost of electric cooking infrastructure. The cumulative investment over the six-year period totals approximately USD 29.7 million. This is primarily composed of stove CAPEX (approximately 70%), with the remainder covering distribution, awareness, and after-sales service costs.</w:t>
      </w:r>
    </w:p>
    <w:p w14:paraId="7F937D61" w14:textId="77777777" w:rsidR="00D828C9" w:rsidRPr="0021250A" w:rsidRDefault="00FF3273">
      <w:pPr>
        <w:spacing w:before="80" w:after="80"/>
        <w:jc w:val="both"/>
        <w:rPr>
          <w:color w:val="000000" w:themeColor="text1"/>
        </w:rPr>
      </w:pPr>
      <w:r>
        <w:rPr>
          <w:color w:val="000000" w:themeColor="text1"/>
        </w:rPr>
        <w:t xml:space="preserve">This investment level is modest in the context of international climate finance. The Green Climate Fund (GCF) and the Clean Cooking Fund (CCF) have both </w:t>
      </w:r>
      <w:proofErr w:type="spellStart"/>
      <w:r>
        <w:rPr>
          <w:color w:val="000000" w:themeColor="text1"/>
        </w:rPr>
        <w:t>channelled</w:t>
      </w:r>
      <w:proofErr w:type="spellEnd"/>
      <w:r>
        <w:rPr>
          <w:color w:val="000000" w:themeColor="text1"/>
        </w:rPr>
        <w:t xml:space="preserve"> multi-hundred-</w:t>
      </w:r>
      <w:proofErr w:type="gramStart"/>
      <w:r>
        <w:rPr>
          <w:color w:val="000000" w:themeColor="text1"/>
        </w:rPr>
        <w:t>million dollar</w:t>
      </w:r>
      <w:proofErr w:type="gramEnd"/>
      <w:r>
        <w:rPr>
          <w:color w:val="000000" w:themeColor="text1"/>
        </w:rPr>
        <w:t xml:space="preserve"> commitments to similar </w:t>
      </w:r>
      <w:proofErr w:type="spellStart"/>
      <w:r>
        <w:rPr>
          <w:color w:val="000000" w:themeColor="text1"/>
        </w:rPr>
        <w:t>programmes</w:t>
      </w:r>
      <w:proofErr w:type="spellEnd"/>
      <w:r>
        <w:rPr>
          <w:color w:val="000000" w:themeColor="text1"/>
        </w:rPr>
        <w:t xml:space="preserve"> in Sub-Saharan Africa. The Lao scenario investment requirement is well within the scope of a single GCF project proposal, suggesting strong potential for concessional climate financing.</w:t>
      </w:r>
    </w:p>
    <w:p w14:paraId="583DDEF6" w14:textId="77777777" w:rsidR="00D828C9" w:rsidRPr="0021250A" w:rsidRDefault="00FF3273">
      <w:pPr>
        <w:pStyle w:val="Heading2"/>
        <w:rPr>
          <w:color w:val="000000" w:themeColor="text1"/>
        </w:rPr>
      </w:pPr>
      <w:bookmarkStart w:id="37" w:name="_Toc224610011"/>
      <w:r>
        <w:rPr>
          <w:color w:val="000000" w:themeColor="text1"/>
        </w:rPr>
        <w:t>5.4 Energy Consumption Trends</w:t>
      </w:r>
      <w:bookmarkEnd w:id="37"/>
    </w:p>
    <w:p w14:paraId="589F57F6" w14:textId="77777777" w:rsidR="00D828C9" w:rsidRPr="0021250A" w:rsidRDefault="00D828C9">
      <w:pPr>
        <w:spacing w:before="40" w:after="40"/>
        <w:rPr>
          <w:color w:val="000000" w:themeColor="text1"/>
        </w:rPr>
      </w:pPr>
    </w:p>
    <w:p w14:paraId="73FE54FA" w14:textId="77777777" w:rsidR="00D828C9" w:rsidRPr="0021250A" w:rsidRDefault="00FF3273">
      <w:pPr>
        <w:spacing w:before="100" w:after="60"/>
        <w:jc w:val="center"/>
        <w:rPr>
          <w:color w:val="000000" w:themeColor="text1"/>
        </w:rPr>
      </w:pPr>
      <w:r>
        <w:rPr>
          <w:noProof/>
          <w:color w:val="000000" w:themeColor="text1"/>
        </w:rPr>
        <w:lastRenderedPageBreak/>
        <w:drawing>
          <wp:inline distT="0" distB="0" distL="0" distR="0" wp14:anchorId="1906124A" wp14:editId="68B22D6C">
            <wp:extent cx="5448300" cy="3045836"/>
            <wp:effectExtent l="0" t="0" r="0" b="2540"/>
            <wp:docPr id="1529680967" name="Picture 1529680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5452628" cy="3048255"/>
                    </a:xfrm>
                    <a:prstGeom prst="rect">
                      <a:avLst/>
                    </a:prstGeom>
                  </pic:spPr>
                </pic:pic>
              </a:graphicData>
            </a:graphic>
          </wp:inline>
        </w:drawing>
      </w:r>
    </w:p>
    <w:p w14:paraId="7F0EE823" w14:textId="77777777" w:rsidR="00D828C9" w:rsidRPr="0021250A" w:rsidRDefault="00FF3273">
      <w:pPr>
        <w:spacing w:before="60" w:after="120"/>
        <w:jc w:val="center"/>
        <w:rPr>
          <w:color w:val="000000" w:themeColor="text1"/>
        </w:rPr>
      </w:pPr>
      <w:r>
        <w:rPr>
          <w:i/>
          <w:iCs/>
          <w:color w:val="000000" w:themeColor="text1"/>
          <w:sz w:val="20"/>
          <w:szCs w:val="20"/>
        </w:rPr>
        <w:t>Figure 10. Total Energy Consumption Trend (TJ/year), 2025–2030. Energy use declines from 11,988 TJ to 8,991 TJ — a reduction of approximately 25%.</w:t>
      </w:r>
    </w:p>
    <w:p w14:paraId="79EC8783" w14:textId="77777777" w:rsidR="00D828C9" w:rsidRPr="0021250A" w:rsidRDefault="00D828C9">
      <w:pPr>
        <w:spacing w:before="40" w:after="40"/>
        <w:rPr>
          <w:color w:val="000000" w:themeColor="text1"/>
        </w:rPr>
      </w:pPr>
    </w:p>
    <w:p w14:paraId="0217B616" w14:textId="77777777" w:rsidR="00D828C9" w:rsidRPr="0021250A" w:rsidRDefault="00FF3273">
      <w:pPr>
        <w:spacing w:before="80" w:after="80"/>
        <w:jc w:val="both"/>
        <w:rPr>
          <w:color w:val="000000" w:themeColor="text1"/>
        </w:rPr>
      </w:pPr>
      <w:r>
        <w:rPr>
          <w:color w:val="000000" w:themeColor="text1"/>
        </w:rPr>
        <w:t>The scenario projects a steady reduction in total cooking energy consumption, from 11,988 TJ/year in 2025 to 8,991 TJ/year in 2030 — a 25.0% reduction over five years (Figure 10). This reduction is driven by the higher thermal efficiency of ICS technologies relative to traditional stoves. Improved cookstoves typically achieve 25–40% thermal efficiency compared to 5–15% for open fires and traditional stoves (FAO, 2017).</w:t>
      </w:r>
    </w:p>
    <w:p w14:paraId="41904193" w14:textId="77777777" w:rsidR="00D828C9" w:rsidRPr="0021250A" w:rsidRDefault="00FF3273">
      <w:pPr>
        <w:spacing w:before="80" w:after="80"/>
        <w:jc w:val="both"/>
        <w:rPr>
          <w:color w:val="000000" w:themeColor="text1"/>
        </w:rPr>
      </w:pPr>
      <w:r>
        <w:rPr>
          <w:color w:val="000000" w:themeColor="text1"/>
        </w:rPr>
        <w:t xml:space="preserve">The energy savings have direct implications for forest resources. Under the business-as-usual trajectory, the Lao forestry sector would face continuing deforestation pressure from fuelwood demand. The modelled reduction of approximately 3,000 TJ/year by 2030 translates to reduced biomass extraction of approximately 1.3 million </w:t>
      </w:r>
      <w:proofErr w:type="spellStart"/>
      <w:r>
        <w:rPr>
          <w:color w:val="000000" w:themeColor="text1"/>
        </w:rPr>
        <w:t>tonnes</w:t>
      </w:r>
      <w:proofErr w:type="spellEnd"/>
      <w:r>
        <w:rPr>
          <w:color w:val="000000" w:themeColor="text1"/>
        </w:rPr>
        <w:t xml:space="preserve"> of dry wood equivalent annually, contributing to forest conservation and biodiversity co-benefits.</w:t>
      </w:r>
    </w:p>
    <w:p w14:paraId="56308D9A" w14:textId="77777777" w:rsidR="00D828C9" w:rsidRPr="0021250A" w:rsidRDefault="00FF3273">
      <w:pPr>
        <w:pStyle w:val="Heading2"/>
        <w:rPr>
          <w:color w:val="000000" w:themeColor="text1"/>
        </w:rPr>
      </w:pPr>
      <w:bookmarkStart w:id="38" w:name="_Toc224610012"/>
      <w:r>
        <w:rPr>
          <w:color w:val="000000" w:themeColor="text1"/>
        </w:rPr>
        <w:t>5.5 CO₂ Emission Reductions</w:t>
      </w:r>
      <w:bookmarkEnd w:id="38"/>
    </w:p>
    <w:p w14:paraId="1FB527B0" w14:textId="77777777" w:rsidR="00D828C9" w:rsidRPr="0021250A" w:rsidRDefault="00D828C9">
      <w:pPr>
        <w:spacing w:before="40" w:after="40"/>
        <w:rPr>
          <w:color w:val="000000" w:themeColor="text1"/>
        </w:rPr>
      </w:pPr>
    </w:p>
    <w:p w14:paraId="03C03D25"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0E104DD3" wp14:editId="0418D72E">
            <wp:extent cx="5210175" cy="2928290"/>
            <wp:effectExtent l="0" t="0" r="0" b="5715"/>
            <wp:docPr id="1088017021" name="Picture 1088017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5212814" cy="2929773"/>
                    </a:xfrm>
                    <a:prstGeom prst="rect">
                      <a:avLst/>
                    </a:prstGeom>
                  </pic:spPr>
                </pic:pic>
              </a:graphicData>
            </a:graphic>
          </wp:inline>
        </w:drawing>
      </w:r>
    </w:p>
    <w:p w14:paraId="00F65C62" w14:textId="77777777" w:rsidR="00D828C9" w:rsidRPr="0021250A" w:rsidRDefault="00FF3273">
      <w:pPr>
        <w:spacing w:before="60" w:after="120"/>
        <w:jc w:val="center"/>
        <w:rPr>
          <w:color w:val="000000" w:themeColor="text1"/>
        </w:rPr>
      </w:pPr>
      <w:r>
        <w:rPr>
          <w:i/>
          <w:iCs/>
          <w:color w:val="000000" w:themeColor="text1"/>
          <w:sz w:val="20"/>
          <w:szCs w:val="20"/>
        </w:rPr>
        <w:t xml:space="preserve">Figure 11. Potential CO₂ Emission Reduction (Million </w:t>
      </w:r>
      <w:proofErr w:type="spellStart"/>
      <w:r>
        <w:rPr>
          <w:i/>
          <w:iCs/>
          <w:color w:val="000000" w:themeColor="text1"/>
          <w:sz w:val="20"/>
          <w:szCs w:val="20"/>
        </w:rPr>
        <w:t>Tonnes</w:t>
      </w:r>
      <w:proofErr w:type="spellEnd"/>
      <w:r>
        <w:rPr>
          <w:i/>
          <w:iCs/>
          <w:color w:val="000000" w:themeColor="text1"/>
          <w:sz w:val="20"/>
          <w:szCs w:val="20"/>
        </w:rPr>
        <w:t>), 2025–2030. Cumulative CO₂ reductions increase from 132.72 Mt in 2025 to 133.17 Mt in 2030.</w:t>
      </w:r>
    </w:p>
    <w:p w14:paraId="0642C7F7" w14:textId="77777777" w:rsidR="00D828C9" w:rsidRPr="0021250A" w:rsidRDefault="00D828C9">
      <w:pPr>
        <w:spacing w:before="40" w:after="40"/>
        <w:rPr>
          <w:color w:val="000000" w:themeColor="text1"/>
        </w:rPr>
      </w:pPr>
    </w:p>
    <w:p w14:paraId="4AFDF039" w14:textId="77777777" w:rsidR="00D828C9" w:rsidRPr="0021250A" w:rsidRDefault="00FF3273">
      <w:pPr>
        <w:spacing w:before="80" w:after="80"/>
        <w:jc w:val="both"/>
        <w:rPr>
          <w:color w:val="000000" w:themeColor="text1"/>
        </w:rPr>
      </w:pPr>
      <w:r>
        <w:rPr>
          <w:color w:val="000000" w:themeColor="text1"/>
        </w:rPr>
        <w:t xml:space="preserve">The CO₂ emission reduction trajectory shows steady annual accumulation, rising from 132.72 million </w:t>
      </w:r>
      <w:proofErr w:type="spellStart"/>
      <w:r>
        <w:rPr>
          <w:color w:val="000000" w:themeColor="text1"/>
        </w:rPr>
        <w:t>tonnes</w:t>
      </w:r>
      <w:proofErr w:type="spellEnd"/>
      <w:r>
        <w:rPr>
          <w:color w:val="000000" w:themeColor="text1"/>
        </w:rPr>
        <w:t xml:space="preserve"> in 2025 to 133.17 million </w:t>
      </w:r>
      <w:proofErr w:type="spellStart"/>
      <w:r>
        <w:rPr>
          <w:color w:val="000000" w:themeColor="text1"/>
        </w:rPr>
        <w:t>tonnes</w:t>
      </w:r>
      <w:proofErr w:type="spellEnd"/>
      <w:r>
        <w:rPr>
          <w:color w:val="000000" w:themeColor="text1"/>
        </w:rPr>
        <w:t xml:space="preserve"> by 2030 (Figure 11). It should be noted that these figures represent cumulative avoided emissions relative to a business-as-usual trajectory — not annual flow reductions — reflecting the stock nature of CO₂ accumulation in the atmosphere.</w:t>
      </w:r>
    </w:p>
    <w:p w14:paraId="0D2631E9" w14:textId="77777777" w:rsidR="00D828C9" w:rsidRPr="0021250A" w:rsidRDefault="00FF3273">
      <w:pPr>
        <w:spacing w:before="80" w:after="80"/>
        <w:jc w:val="both"/>
        <w:rPr>
          <w:color w:val="000000" w:themeColor="text1"/>
        </w:rPr>
      </w:pPr>
      <w:r>
        <w:rPr>
          <w:color w:val="000000" w:themeColor="text1"/>
        </w:rPr>
        <w:t xml:space="preserve">The annual increment of approximately 0.09 million </w:t>
      </w:r>
      <w:proofErr w:type="spellStart"/>
      <w:r>
        <w:rPr>
          <w:color w:val="000000" w:themeColor="text1"/>
        </w:rPr>
        <w:t>tonnes</w:t>
      </w:r>
      <w:proofErr w:type="spellEnd"/>
      <w:r>
        <w:rPr>
          <w:color w:val="000000" w:themeColor="text1"/>
        </w:rPr>
        <w:t xml:space="preserve"> per year of additional avoidance is consistent with the pace of technology transition. From a carbon finance perspective, even at conservative carbon credit prices of USD 5–10 per </w:t>
      </w:r>
      <w:proofErr w:type="spellStart"/>
      <w:r>
        <w:rPr>
          <w:color w:val="000000" w:themeColor="text1"/>
        </w:rPr>
        <w:t>tonne</w:t>
      </w:r>
      <w:proofErr w:type="spellEnd"/>
      <w:r>
        <w:rPr>
          <w:color w:val="000000" w:themeColor="text1"/>
        </w:rPr>
        <w:t xml:space="preserve"> CO₂, the annual avoided emissions could generate USD 450,000–900,000 in carbon revenues per year, providing a partial subsidy stream for </w:t>
      </w:r>
      <w:proofErr w:type="spellStart"/>
      <w:r>
        <w:rPr>
          <w:color w:val="000000" w:themeColor="text1"/>
        </w:rPr>
        <w:t>programme</w:t>
      </w:r>
      <w:proofErr w:type="spellEnd"/>
      <w:r>
        <w:rPr>
          <w:color w:val="000000" w:themeColor="text1"/>
        </w:rPr>
        <w:t xml:space="preserve"> sustainability. At more ambitious carbon prices (USD 30–50/</w:t>
      </w:r>
      <w:proofErr w:type="spellStart"/>
      <w:r>
        <w:rPr>
          <w:color w:val="000000" w:themeColor="text1"/>
        </w:rPr>
        <w:t>tonne</w:t>
      </w:r>
      <w:proofErr w:type="spellEnd"/>
      <w:r>
        <w:rPr>
          <w:color w:val="000000" w:themeColor="text1"/>
        </w:rPr>
        <w:t xml:space="preserve">, aligned with the Social Cost of Carbon), the carbon revenue potential substantially exceeds the annual </w:t>
      </w:r>
      <w:proofErr w:type="spellStart"/>
      <w:r>
        <w:rPr>
          <w:color w:val="000000" w:themeColor="text1"/>
        </w:rPr>
        <w:t>pro</w:t>
      </w:r>
      <w:r>
        <w:rPr>
          <w:color w:val="000000" w:themeColor="text1"/>
        </w:rPr>
        <w:t>gramme</w:t>
      </w:r>
      <w:proofErr w:type="spellEnd"/>
      <w:r>
        <w:rPr>
          <w:color w:val="000000" w:themeColor="text1"/>
        </w:rPr>
        <w:t xml:space="preserve"> investment cost.</w:t>
      </w:r>
    </w:p>
    <w:p w14:paraId="0D557B88" w14:textId="77777777" w:rsidR="00D828C9" w:rsidRPr="0021250A" w:rsidRDefault="00FF3273">
      <w:pPr>
        <w:pStyle w:val="Heading2"/>
        <w:rPr>
          <w:color w:val="000000" w:themeColor="text1"/>
        </w:rPr>
      </w:pPr>
      <w:bookmarkStart w:id="39" w:name="_Toc224610013"/>
      <w:r>
        <w:rPr>
          <w:color w:val="000000" w:themeColor="text1"/>
        </w:rPr>
        <w:t>5.6 Net Economic Gains</w:t>
      </w:r>
      <w:bookmarkEnd w:id="39"/>
    </w:p>
    <w:p w14:paraId="2370D99D" w14:textId="77777777" w:rsidR="00D828C9" w:rsidRPr="0021250A" w:rsidRDefault="00D828C9">
      <w:pPr>
        <w:spacing w:before="40" w:after="40"/>
        <w:rPr>
          <w:color w:val="000000" w:themeColor="text1"/>
        </w:rPr>
      </w:pPr>
    </w:p>
    <w:p w14:paraId="3B592145" w14:textId="77777777" w:rsidR="00D828C9" w:rsidRPr="0021250A" w:rsidRDefault="00FF3273">
      <w:pPr>
        <w:spacing w:before="100" w:after="60"/>
        <w:jc w:val="center"/>
        <w:rPr>
          <w:color w:val="000000" w:themeColor="text1"/>
        </w:rPr>
      </w:pPr>
      <w:r>
        <w:rPr>
          <w:noProof/>
          <w:color w:val="000000" w:themeColor="text1"/>
        </w:rPr>
        <w:drawing>
          <wp:inline distT="0" distB="0" distL="0" distR="0" wp14:anchorId="15561EA7" wp14:editId="23E2B966">
            <wp:extent cx="6372225" cy="3600450"/>
            <wp:effectExtent l="0" t="0" r="0" b="0"/>
            <wp:docPr id="1116563354" name="Picture 111656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6372225" cy="3600450"/>
                    </a:xfrm>
                    <a:prstGeom prst="rect">
                      <a:avLst/>
                    </a:prstGeom>
                  </pic:spPr>
                </pic:pic>
              </a:graphicData>
            </a:graphic>
          </wp:inline>
        </w:drawing>
      </w:r>
    </w:p>
    <w:p w14:paraId="655E279C" w14:textId="77777777" w:rsidR="00D828C9" w:rsidRPr="0021250A" w:rsidRDefault="00FF3273">
      <w:pPr>
        <w:spacing w:before="60" w:after="120"/>
        <w:jc w:val="center"/>
        <w:rPr>
          <w:color w:val="000000" w:themeColor="text1"/>
        </w:rPr>
      </w:pPr>
      <w:r>
        <w:rPr>
          <w:i/>
          <w:iCs/>
          <w:color w:val="000000" w:themeColor="text1"/>
          <w:sz w:val="20"/>
          <w:szCs w:val="20"/>
        </w:rPr>
        <w:t>Figure 12. Net Economic Gains Comparison (M.USD), 2025–2030. Net gains increase from USD 1,191M in 2025 to USD 1,308M by 2030, driven by health and time savings.</w:t>
      </w:r>
    </w:p>
    <w:p w14:paraId="682279D0" w14:textId="77777777" w:rsidR="00D828C9" w:rsidRPr="0021250A" w:rsidRDefault="00D828C9">
      <w:pPr>
        <w:spacing w:before="40" w:after="40"/>
        <w:rPr>
          <w:color w:val="000000" w:themeColor="text1"/>
        </w:rPr>
      </w:pPr>
    </w:p>
    <w:p w14:paraId="0DA82138" w14:textId="77777777" w:rsidR="00D828C9" w:rsidRPr="0021250A" w:rsidRDefault="00FF3273">
      <w:pPr>
        <w:spacing w:before="80" w:after="80"/>
        <w:jc w:val="both"/>
        <w:rPr>
          <w:color w:val="000000" w:themeColor="text1"/>
        </w:rPr>
      </w:pPr>
      <w:r>
        <w:rPr>
          <w:color w:val="000000" w:themeColor="text1"/>
        </w:rPr>
        <w:t xml:space="preserve">The net economic gains from the clean cooking transition — calculated as the sum of avoided health costs and time savings, minus </w:t>
      </w:r>
      <w:proofErr w:type="spellStart"/>
      <w:r>
        <w:rPr>
          <w:color w:val="000000" w:themeColor="text1"/>
        </w:rPr>
        <w:t>programme</w:t>
      </w:r>
      <w:proofErr w:type="spellEnd"/>
      <w:r>
        <w:rPr>
          <w:color w:val="000000" w:themeColor="text1"/>
        </w:rPr>
        <w:t xml:space="preserve"> investment costs — are substantial, rising from USD 1,191 million in 2025 to USD 1,308 million by 2030 (Figure 12). These figures far exceed the annual investment costs (USD 3–7 million), yielding benefit-cost ratios exceeding 170:1 at the national level.</w:t>
      </w:r>
    </w:p>
    <w:p w14:paraId="0AE9761D" w14:textId="77777777" w:rsidR="00D828C9" w:rsidRPr="0021250A" w:rsidRDefault="00FF3273">
      <w:pPr>
        <w:spacing w:before="80" w:after="80"/>
        <w:jc w:val="both"/>
        <w:rPr>
          <w:color w:val="000000" w:themeColor="text1"/>
        </w:rPr>
      </w:pPr>
      <w:r>
        <w:rPr>
          <w:color w:val="000000" w:themeColor="text1"/>
        </w:rPr>
        <w:t xml:space="preserve">The dominant driver of economic gains is the health benefit channel. Avoided premature deaths — approximately 2,838 to 2,878 per year over the scenario period — each valued at approximately USD 400,000 (VSL adjusted for Lao income levels) account for </w:t>
      </w:r>
      <w:proofErr w:type="gramStart"/>
      <w:r>
        <w:rPr>
          <w:color w:val="000000" w:themeColor="text1"/>
        </w:rPr>
        <w:t>the majority of</w:t>
      </w:r>
      <w:proofErr w:type="gramEnd"/>
      <w:r>
        <w:rPr>
          <w:color w:val="000000" w:themeColor="text1"/>
        </w:rPr>
        <w:t xml:space="preserve"> </w:t>
      </w:r>
      <w:proofErr w:type="spellStart"/>
      <w:r>
        <w:rPr>
          <w:color w:val="000000" w:themeColor="text1"/>
        </w:rPr>
        <w:t>monetised</w:t>
      </w:r>
      <w:proofErr w:type="spellEnd"/>
      <w:r>
        <w:rPr>
          <w:color w:val="000000" w:themeColor="text1"/>
        </w:rPr>
        <w:t xml:space="preserve"> benefits. Time savings from reduced fuel collection, averaging approximately 5 hours per household per day in rural areas, add further economic value, particularly for women and girls who disproportionately bear the burden of fuel collection.</w:t>
      </w:r>
    </w:p>
    <w:p w14:paraId="35AFCBE6" w14:textId="7A453605" w:rsidR="00D828C9" w:rsidRPr="0021250A" w:rsidRDefault="00FF3273" w:rsidP="00C9694D">
      <w:pPr>
        <w:spacing w:before="80" w:after="80"/>
        <w:jc w:val="both"/>
        <w:rPr>
          <w:color w:val="000000" w:themeColor="text1"/>
        </w:rPr>
      </w:pPr>
      <w:r>
        <w:rPr>
          <w:color w:val="000000" w:themeColor="text1"/>
        </w:rPr>
        <w:t xml:space="preserve">These results are consistent with findings from comparable </w:t>
      </w:r>
      <w:proofErr w:type="spellStart"/>
      <w:r>
        <w:rPr>
          <w:color w:val="000000" w:themeColor="text1"/>
        </w:rPr>
        <w:t>OnStove</w:t>
      </w:r>
      <w:proofErr w:type="spellEnd"/>
      <w:r>
        <w:rPr>
          <w:color w:val="000000" w:themeColor="text1"/>
        </w:rPr>
        <w:t xml:space="preserve"> applications. Khavari et al. (2024) reported benefit-cost ratios of 12–40 for East African clean cooking interventions; the higher ratio for Laos reflects the lower per-household investment cost of ICS relative to LPG or biogas systems. </w:t>
      </w:r>
      <w:r>
        <w:rPr>
          <w:color w:val="000000" w:themeColor="text1"/>
        </w:rPr>
        <w:br w:type="page"/>
      </w:r>
    </w:p>
    <w:p w14:paraId="342DFC50" w14:textId="77777777" w:rsidR="00D828C9" w:rsidRPr="0021250A" w:rsidRDefault="00FF3273">
      <w:pPr>
        <w:pStyle w:val="Heading1"/>
        <w:rPr>
          <w:color w:val="000000" w:themeColor="text1"/>
        </w:rPr>
      </w:pPr>
      <w:bookmarkStart w:id="40" w:name="_Toc224610014"/>
      <w:r>
        <w:rPr>
          <w:color w:val="000000" w:themeColor="text1"/>
        </w:rPr>
        <w:lastRenderedPageBreak/>
        <w:t>6. Discussion and Policy Implications</w:t>
      </w:r>
      <w:bookmarkEnd w:id="40"/>
    </w:p>
    <w:p w14:paraId="63356705" w14:textId="77777777" w:rsidR="00D828C9" w:rsidRPr="0021250A" w:rsidRDefault="00FF3273">
      <w:pPr>
        <w:pStyle w:val="Heading2"/>
        <w:rPr>
          <w:color w:val="000000" w:themeColor="text1"/>
        </w:rPr>
      </w:pPr>
      <w:bookmarkStart w:id="41" w:name="_Toc224610015"/>
      <w:r>
        <w:rPr>
          <w:color w:val="000000" w:themeColor="text1"/>
        </w:rPr>
        <w:t>6.1 Implications for National Policy</w:t>
      </w:r>
      <w:bookmarkEnd w:id="41"/>
    </w:p>
    <w:p w14:paraId="12BE227B" w14:textId="61B64F21" w:rsidR="00D828C9" w:rsidRPr="0021250A" w:rsidRDefault="00FF3273">
      <w:pPr>
        <w:spacing w:before="80" w:after="80"/>
        <w:jc w:val="both"/>
        <w:rPr>
          <w:color w:val="000000" w:themeColor="text1"/>
        </w:rPr>
      </w:pPr>
      <w:r>
        <w:rPr>
          <w:color w:val="000000" w:themeColor="text1"/>
        </w:rPr>
        <w:t xml:space="preserve">The results of this analysis carry several important implications for Lao PDR's national energy and development policy. First, the scale of the tripod stove burden — 51.9% of households at baseline — confirms that the clean cooking challenge in Laos is predominantly rural, and a remote-access challenge. Urban markets are already transitioning through market forces; the policy and investment case </w:t>
      </w:r>
      <w:proofErr w:type="gramStart"/>
      <w:r>
        <w:rPr>
          <w:color w:val="000000" w:themeColor="text1"/>
        </w:rPr>
        <w:t>is</w:t>
      </w:r>
      <w:proofErr w:type="gramEnd"/>
      <w:r>
        <w:rPr>
          <w:color w:val="000000" w:themeColor="text1"/>
        </w:rPr>
        <w:t xml:space="preserve"> strongest in rural communities where market failures are high.</w:t>
      </w:r>
    </w:p>
    <w:p w14:paraId="0946DD45" w14:textId="77777777" w:rsidR="00D828C9" w:rsidRPr="0021250A" w:rsidRDefault="00FF3273">
      <w:pPr>
        <w:spacing w:before="80" w:after="80"/>
        <w:jc w:val="both"/>
        <w:rPr>
          <w:color w:val="000000" w:themeColor="text1"/>
        </w:rPr>
      </w:pPr>
      <w:r>
        <w:rPr>
          <w:color w:val="000000" w:themeColor="text1"/>
        </w:rPr>
        <w:t xml:space="preserve">Second, the ICS pathway (particularly ICS WS-3) emerges as the most scalable near-term intervention in rural Laos, given the continued abundance of biomass resources and the low capital cost of wood-burning ICS relative to LPG or electric cookstoves. A national ICS distribution </w:t>
      </w:r>
      <w:proofErr w:type="spellStart"/>
      <w:r>
        <w:rPr>
          <w:color w:val="000000" w:themeColor="text1"/>
        </w:rPr>
        <w:t>programme</w:t>
      </w:r>
      <w:proofErr w:type="spellEnd"/>
      <w:r>
        <w:rPr>
          <w:color w:val="000000" w:themeColor="text1"/>
        </w:rPr>
        <w:t xml:space="preserve">, potentially leveraging the Lao Stove Association and local NGO networks, could deliver </w:t>
      </w:r>
      <w:proofErr w:type="gramStart"/>
      <w:r>
        <w:rPr>
          <w:color w:val="000000" w:themeColor="text1"/>
        </w:rPr>
        <w:t>the majority of</w:t>
      </w:r>
      <w:proofErr w:type="gramEnd"/>
      <w:r>
        <w:rPr>
          <w:color w:val="000000" w:themeColor="text1"/>
        </w:rPr>
        <w:t xml:space="preserve"> the modelled transition benefits at relatively modest cost.</w:t>
      </w:r>
    </w:p>
    <w:p w14:paraId="586488B7" w14:textId="2A069F7F" w:rsidR="00D828C9" w:rsidRPr="0021250A" w:rsidRDefault="00FF3273">
      <w:pPr>
        <w:spacing w:before="80" w:after="80"/>
        <w:jc w:val="both"/>
        <w:rPr>
          <w:color w:val="000000" w:themeColor="text1"/>
        </w:rPr>
      </w:pPr>
      <w:r>
        <w:rPr>
          <w:color w:val="000000" w:themeColor="text1"/>
        </w:rPr>
        <w:t xml:space="preserve">Third, the strong urban trajectory toward electric cooking suggests that the ongoing rural electrification </w:t>
      </w:r>
      <w:proofErr w:type="spellStart"/>
      <w:r>
        <w:rPr>
          <w:color w:val="000000" w:themeColor="text1"/>
        </w:rPr>
        <w:t>programme</w:t>
      </w:r>
      <w:proofErr w:type="spellEnd"/>
      <w:r>
        <w:rPr>
          <w:color w:val="000000" w:themeColor="text1"/>
        </w:rPr>
        <w:t xml:space="preserve"> — which targets near-universal access by 2030 — can be leveraged to accelerate adoption of electric cooking in newly electrified communities. Regulatory incentives (e.g., reduced tariffs for cooking load, bundled appliance financing) could accelerate this transition.</w:t>
      </w:r>
    </w:p>
    <w:p w14:paraId="23DDA960" w14:textId="77777777" w:rsidR="00D828C9" w:rsidRPr="0021250A" w:rsidRDefault="00FF3273">
      <w:pPr>
        <w:pStyle w:val="Heading2"/>
        <w:rPr>
          <w:color w:val="000000" w:themeColor="text1"/>
        </w:rPr>
      </w:pPr>
      <w:bookmarkStart w:id="42" w:name="_Toc224610016"/>
      <w:r>
        <w:rPr>
          <w:color w:val="000000" w:themeColor="text1"/>
        </w:rPr>
        <w:t>6.2 Carbon Finance Opportunities</w:t>
      </w:r>
      <w:bookmarkEnd w:id="42"/>
    </w:p>
    <w:p w14:paraId="09B79A00" w14:textId="5B21A44D" w:rsidR="00D828C9" w:rsidRPr="0021250A" w:rsidRDefault="00FF3273">
      <w:pPr>
        <w:spacing w:before="80" w:after="80"/>
        <w:jc w:val="both"/>
        <w:rPr>
          <w:color w:val="000000" w:themeColor="text1"/>
        </w:rPr>
      </w:pPr>
      <w:r>
        <w:rPr>
          <w:color w:val="000000" w:themeColor="text1"/>
        </w:rPr>
        <w:t xml:space="preserve">The cumulative CO₂ reductions modelled in this analysis, while modest in absolute terms relative to the global carbon market, are significant enough to warrant the development of a programmatic clean cooking carbon project under VERRA's Verified Carbon Standard (VCS) or the Gold Standard. A properly structured carbon project could </w:t>
      </w:r>
      <w:proofErr w:type="spellStart"/>
      <w:r>
        <w:rPr>
          <w:color w:val="000000" w:themeColor="text1"/>
        </w:rPr>
        <w:t>mobilise</w:t>
      </w:r>
      <w:proofErr w:type="spellEnd"/>
      <w:r>
        <w:rPr>
          <w:color w:val="000000" w:themeColor="text1"/>
        </w:rPr>
        <w:t xml:space="preserve"> 3–5 years of carbon revenues in advance, providing the working capital needed to establish ICS distribution networks and reduce the upfront subsidy requirement.</w:t>
      </w:r>
    </w:p>
    <w:p w14:paraId="659B05D1" w14:textId="77777777" w:rsidR="00D828C9" w:rsidRPr="0021250A" w:rsidRDefault="00FF3273">
      <w:pPr>
        <w:spacing w:before="80" w:after="80"/>
        <w:jc w:val="both"/>
        <w:rPr>
          <w:color w:val="000000" w:themeColor="text1"/>
        </w:rPr>
      </w:pPr>
      <w:r>
        <w:rPr>
          <w:color w:val="000000" w:themeColor="text1"/>
        </w:rPr>
        <w:t>Lao PDR's NDC also identifies clean cooking as an eligible mitigation action under its REDD+ framework, providing a further financing pathway through bilateral climate agreements or REDD+ result payments.</w:t>
      </w:r>
    </w:p>
    <w:p w14:paraId="073B174B" w14:textId="77777777" w:rsidR="00D828C9" w:rsidRPr="0021250A" w:rsidRDefault="00FF3273">
      <w:pPr>
        <w:pStyle w:val="Heading2"/>
        <w:rPr>
          <w:color w:val="000000" w:themeColor="text1"/>
        </w:rPr>
      </w:pPr>
      <w:bookmarkStart w:id="43" w:name="_Toc224610017"/>
      <w:r>
        <w:rPr>
          <w:color w:val="000000" w:themeColor="text1"/>
        </w:rPr>
        <w:t>6.3 Limitations and Uncertainties</w:t>
      </w:r>
      <w:bookmarkEnd w:id="43"/>
    </w:p>
    <w:p w14:paraId="00F94F19" w14:textId="02544304" w:rsidR="00D828C9" w:rsidRPr="0021250A" w:rsidRDefault="00FF3273">
      <w:pPr>
        <w:spacing w:before="80" w:after="80"/>
        <w:jc w:val="both"/>
        <w:rPr>
          <w:color w:val="000000" w:themeColor="text1"/>
        </w:rPr>
      </w:pPr>
      <w:r>
        <w:rPr>
          <w:color w:val="000000" w:themeColor="text1"/>
        </w:rPr>
        <w:t xml:space="preserve">This analysis is subject to several important limitations. The </w:t>
      </w:r>
      <w:proofErr w:type="spellStart"/>
      <w:r>
        <w:rPr>
          <w:color w:val="000000" w:themeColor="text1"/>
        </w:rPr>
        <w:t>OnStove</w:t>
      </w:r>
      <w:proofErr w:type="spellEnd"/>
      <w:r>
        <w:rPr>
          <w:color w:val="000000" w:themeColor="text1"/>
        </w:rPr>
        <w:t xml:space="preserve"> model uses population grid cells as the unit of analysis and assigns baseline technologies to grid cells involving probabilistic estimation based on urban/rural classification and income proxies. Actual household-level survey data at the national level would improve model </w:t>
      </w:r>
      <w:proofErr w:type="gramStart"/>
      <w:r>
        <w:rPr>
          <w:color w:val="000000" w:themeColor="text1"/>
        </w:rPr>
        <w:t>accuracy, but</w:t>
      </w:r>
      <w:proofErr w:type="gramEnd"/>
      <w:r>
        <w:rPr>
          <w:color w:val="000000" w:themeColor="text1"/>
        </w:rPr>
        <w:t xml:space="preserve"> were not available at the resolution required for this analysis.</w:t>
      </w:r>
    </w:p>
    <w:p w14:paraId="24E03336" w14:textId="77777777" w:rsidR="00D828C9" w:rsidRPr="0021250A" w:rsidRDefault="00FF3273">
      <w:pPr>
        <w:spacing w:before="80" w:after="80"/>
        <w:jc w:val="both"/>
        <w:rPr>
          <w:color w:val="000000" w:themeColor="text1"/>
        </w:rPr>
      </w:pPr>
      <w:r>
        <w:rPr>
          <w:color w:val="000000" w:themeColor="text1"/>
        </w:rPr>
        <w:t xml:space="preserve">The scenario assumes a consistent annual rate of ICS distribution without explicitly modelling supply chain constraints, household willingness-to-pay heterogeneity, or stove adoption and sustained use rates. Field evidence from similar </w:t>
      </w:r>
      <w:proofErr w:type="spellStart"/>
      <w:r>
        <w:rPr>
          <w:color w:val="000000" w:themeColor="text1"/>
        </w:rPr>
        <w:t>programmes</w:t>
      </w:r>
      <w:proofErr w:type="spellEnd"/>
      <w:r>
        <w:rPr>
          <w:color w:val="000000" w:themeColor="text1"/>
        </w:rPr>
        <w:t xml:space="preserve"> in the region suggests that actual adoption rates may be 10–30% lower than theoretical potential (World Bank, 2022). Sensitivity analysis around these parameters would be a valuable extension of this work.</w:t>
      </w:r>
    </w:p>
    <w:p w14:paraId="10F3176D" w14:textId="77777777" w:rsidR="00D828C9" w:rsidRPr="0021250A" w:rsidRDefault="00FF3273">
      <w:pPr>
        <w:spacing w:before="80" w:after="80"/>
        <w:jc w:val="both"/>
        <w:rPr>
          <w:color w:val="000000" w:themeColor="text1"/>
        </w:rPr>
      </w:pPr>
      <w:r>
        <w:rPr>
          <w:color w:val="000000" w:themeColor="text1"/>
        </w:rPr>
        <w:t xml:space="preserve">The CO₂ reduction figures require careful interpretation. The values reported represent modelled avoided emissions relative to the counterfactual trajectory, calculated using </w:t>
      </w:r>
      <w:proofErr w:type="spellStart"/>
      <w:r>
        <w:rPr>
          <w:color w:val="000000" w:themeColor="text1"/>
        </w:rPr>
        <w:t>standardised</w:t>
      </w:r>
      <w:proofErr w:type="spellEnd"/>
      <w:r>
        <w:rPr>
          <w:color w:val="000000" w:themeColor="text1"/>
        </w:rPr>
        <w:t xml:space="preserve"> emission factors for each technology. Actual verified emission reductions for carbon finance purposes would require a more detailed measurement, reporting, and verification (MRV) protocol.</w:t>
      </w:r>
    </w:p>
    <w:p w14:paraId="335CC37D" w14:textId="77777777" w:rsidR="00D828C9" w:rsidRPr="0021250A" w:rsidRDefault="00FF3273">
      <w:pPr>
        <w:spacing w:before="80" w:after="80"/>
        <w:jc w:val="both"/>
        <w:rPr>
          <w:color w:val="000000" w:themeColor="text1"/>
        </w:rPr>
      </w:pPr>
      <w:r>
        <w:rPr>
          <w:color w:val="000000" w:themeColor="text1"/>
        </w:rPr>
        <w:t xml:space="preserve">Finally, cultural and </w:t>
      </w:r>
      <w:proofErr w:type="spellStart"/>
      <w:r>
        <w:rPr>
          <w:color w:val="000000" w:themeColor="text1"/>
        </w:rPr>
        <w:t>behavioural</w:t>
      </w:r>
      <w:proofErr w:type="spellEnd"/>
      <w:r>
        <w:rPr>
          <w:color w:val="000000" w:themeColor="text1"/>
        </w:rPr>
        <w:t xml:space="preserve"> factors — including taste preferences associated with traditional stoves, social norms around cooking practices, and gender dynamics in technology adoption decisions — are not captured in the current model but are acknowledged as critical determinants of real-world </w:t>
      </w:r>
      <w:proofErr w:type="spellStart"/>
      <w:r>
        <w:rPr>
          <w:color w:val="000000" w:themeColor="text1"/>
        </w:rPr>
        <w:t>programme</w:t>
      </w:r>
      <w:proofErr w:type="spellEnd"/>
      <w:r>
        <w:rPr>
          <w:color w:val="000000" w:themeColor="text1"/>
        </w:rPr>
        <w:t xml:space="preserve"> success (</w:t>
      </w:r>
      <w:proofErr w:type="spellStart"/>
      <w:r>
        <w:rPr>
          <w:color w:val="000000" w:themeColor="text1"/>
        </w:rPr>
        <w:t>Puzzolo</w:t>
      </w:r>
      <w:proofErr w:type="spellEnd"/>
      <w:r>
        <w:rPr>
          <w:color w:val="000000" w:themeColor="text1"/>
        </w:rPr>
        <w:t xml:space="preserve"> et al., 2019).</w:t>
      </w:r>
    </w:p>
    <w:p w14:paraId="08C46EF3" w14:textId="77777777" w:rsidR="00D828C9" w:rsidRPr="0021250A" w:rsidRDefault="00FF3273">
      <w:pPr>
        <w:rPr>
          <w:color w:val="000000" w:themeColor="text1"/>
        </w:rPr>
      </w:pPr>
      <w:r>
        <w:rPr>
          <w:color w:val="000000" w:themeColor="text1"/>
        </w:rPr>
        <w:br w:type="page"/>
      </w:r>
    </w:p>
    <w:p w14:paraId="72E12043" w14:textId="77777777" w:rsidR="00D828C9" w:rsidRPr="0021250A" w:rsidRDefault="00FF3273">
      <w:pPr>
        <w:pStyle w:val="Heading1"/>
        <w:rPr>
          <w:color w:val="000000" w:themeColor="text1"/>
        </w:rPr>
      </w:pPr>
      <w:bookmarkStart w:id="44" w:name="_Toc224610018"/>
      <w:r>
        <w:rPr>
          <w:color w:val="000000" w:themeColor="text1"/>
        </w:rPr>
        <w:lastRenderedPageBreak/>
        <w:t>7. Conclusions and Recommendations</w:t>
      </w:r>
      <w:bookmarkEnd w:id="44"/>
    </w:p>
    <w:p w14:paraId="419FAF30" w14:textId="77777777" w:rsidR="00D828C9" w:rsidRPr="0021250A" w:rsidRDefault="00FF3273">
      <w:pPr>
        <w:spacing w:before="80" w:after="80"/>
        <w:jc w:val="both"/>
        <w:rPr>
          <w:color w:val="000000" w:themeColor="text1"/>
        </w:rPr>
      </w:pPr>
      <w:r>
        <w:rPr>
          <w:color w:val="000000" w:themeColor="text1"/>
        </w:rPr>
        <w:t xml:space="preserve">This study has developed the first </w:t>
      </w:r>
      <w:proofErr w:type="spellStart"/>
      <w:r>
        <w:rPr>
          <w:color w:val="000000" w:themeColor="text1"/>
        </w:rPr>
        <w:t>OnStove</w:t>
      </w:r>
      <w:proofErr w:type="spellEnd"/>
      <w:r>
        <w:rPr>
          <w:color w:val="000000" w:themeColor="text1"/>
        </w:rPr>
        <w:t xml:space="preserve"> geospatial model for Lao PDR, providing a quantitative foundation for clean cooking policy and investment planning. The key findings are:</w:t>
      </w:r>
    </w:p>
    <w:p w14:paraId="2610A03A" w14:textId="77777777" w:rsidR="00D828C9" w:rsidRPr="0021250A" w:rsidRDefault="00D828C9">
      <w:pPr>
        <w:spacing w:before="40" w:after="40"/>
        <w:rPr>
          <w:color w:val="000000" w:themeColor="text1"/>
        </w:rPr>
      </w:pPr>
    </w:p>
    <w:p w14:paraId="66DF981A" w14:textId="77777777" w:rsidR="00D828C9" w:rsidRPr="0021250A" w:rsidRDefault="00FF3273" w:rsidP="00FF3273">
      <w:pPr>
        <w:pStyle w:val="ListParagraph"/>
        <w:numPr>
          <w:ilvl w:val="0"/>
          <w:numId w:val="3"/>
        </w:numPr>
        <w:spacing w:before="60" w:after="60"/>
        <w:jc w:val="both"/>
        <w:rPr>
          <w:color w:val="000000" w:themeColor="text1"/>
        </w:rPr>
      </w:pPr>
      <w:r>
        <w:rPr>
          <w:color w:val="000000" w:themeColor="text1"/>
        </w:rPr>
        <w:t>The current cooking technology landscape is dominated by traditional solid-fuel stoves, with Tripod stoves accounting for 51.9% of national household use. The urban–rural technology gap is pronounced and reflects structural barriers to market penetration in rural communities.</w:t>
      </w:r>
    </w:p>
    <w:p w14:paraId="2ADAFEC7" w14:textId="77777777" w:rsidR="00D828C9" w:rsidRPr="0021250A" w:rsidRDefault="00FF3273" w:rsidP="00FF3273">
      <w:pPr>
        <w:pStyle w:val="ListParagraph"/>
        <w:numPr>
          <w:ilvl w:val="0"/>
          <w:numId w:val="3"/>
        </w:numPr>
        <w:spacing w:before="60" w:after="60"/>
        <w:jc w:val="both"/>
        <w:rPr>
          <w:color w:val="000000" w:themeColor="text1"/>
        </w:rPr>
      </w:pPr>
      <w:r>
        <w:rPr>
          <w:color w:val="000000" w:themeColor="text1"/>
        </w:rPr>
        <w:t xml:space="preserve">A moderate-ambition clean cooking transition </w:t>
      </w:r>
      <w:proofErr w:type="spellStart"/>
      <w:r>
        <w:rPr>
          <w:color w:val="000000" w:themeColor="text1"/>
        </w:rPr>
        <w:t>programme</w:t>
      </w:r>
      <w:proofErr w:type="spellEnd"/>
      <w:r>
        <w:rPr>
          <w:color w:val="000000" w:themeColor="text1"/>
        </w:rPr>
        <w:t>, investing USD 3–7 million per year from 2025 to 2030, can reduce tripod stove prevalence to 38.7% and achieve a 25% reduction in cooking energy consumption.</w:t>
      </w:r>
    </w:p>
    <w:p w14:paraId="2E6CF043" w14:textId="77777777" w:rsidR="00D828C9" w:rsidRPr="0021250A" w:rsidRDefault="00FF3273" w:rsidP="00FF3273">
      <w:pPr>
        <w:pStyle w:val="ListParagraph"/>
        <w:numPr>
          <w:ilvl w:val="0"/>
          <w:numId w:val="3"/>
        </w:numPr>
        <w:spacing w:before="60" w:after="60"/>
        <w:jc w:val="both"/>
        <w:rPr>
          <w:color w:val="000000" w:themeColor="text1"/>
        </w:rPr>
      </w:pPr>
      <w:r>
        <w:rPr>
          <w:color w:val="000000" w:themeColor="text1"/>
        </w:rPr>
        <w:t>The health and time-saving co-benefits of this transition are economically overwhelming, with benefit-cost ratios exceeding 170:1 at the national level, driven by approximately 2,800–2,900 avoided premature deaths per year.</w:t>
      </w:r>
    </w:p>
    <w:p w14:paraId="2449F742" w14:textId="77777777" w:rsidR="00D828C9" w:rsidRPr="0021250A" w:rsidRDefault="00FF3273" w:rsidP="00FF3273">
      <w:pPr>
        <w:pStyle w:val="ListParagraph"/>
        <w:numPr>
          <w:ilvl w:val="0"/>
          <w:numId w:val="3"/>
        </w:numPr>
        <w:spacing w:before="60" w:after="60"/>
        <w:jc w:val="both"/>
        <w:rPr>
          <w:color w:val="000000" w:themeColor="text1"/>
        </w:rPr>
      </w:pPr>
      <w:r>
        <w:rPr>
          <w:color w:val="000000" w:themeColor="text1"/>
        </w:rPr>
        <w:t>The modelled transition generates steadily growing net economic gains, reaching USD 1,308 million per year by 2030 — approximately 5% of estimated Lao GDP — underscoring the macro-economic significance of the clean cooking challenge.</w:t>
      </w:r>
    </w:p>
    <w:p w14:paraId="449F6C4D" w14:textId="77777777" w:rsidR="00D828C9" w:rsidRPr="0021250A" w:rsidRDefault="00FF3273" w:rsidP="00FF3273">
      <w:pPr>
        <w:pStyle w:val="ListParagraph"/>
        <w:numPr>
          <w:ilvl w:val="0"/>
          <w:numId w:val="3"/>
        </w:numPr>
        <w:spacing w:before="60" w:after="60"/>
        <w:jc w:val="both"/>
        <w:rPr>
          <w:color w:val="000000" w:themeColor="text1"/>
        </w:rPr>
      </w:pPr>
      <w:r>
        <w:rPr>
          <w:color w:val="000000" w:themeColor="text1"/>
        </w:rPr>
        <w:t xml:space="preserve">The scenario results are directly consistent with Lao PDR’s NDC commitments and provide quantitative evidence to support the case for accessing international climate finance. Lao </w:t>
      </w:r>
      <w:proofErr w:type="gramStart"/>
      <w:r>
        <w:rPr>
          <w:color w:val="000000" w:themeColor="text1"/>
        </w:rPr>
        <w:t>PDR’s</w:t>
      </w:r>
      <w:proofErr w:type="gramEnd"/>
      <w:r>
        <w:rPr>
          <w:color w:val="000000" w:themeColor="text1"/>
        </w:rPr>
        <w:t xml:space="preserve"> updated NDC (2021) sets a specific target of distributing 100,000 electric cookstoves by 2030 as part of its household energy mitigation contribution. The modelled scenario aligns with this ambition: by 2030, electric cooking reaches 21.6% of urban households and 8.0% of rural households nationally, reflecting a trajectory consistent with progressive cookstove </w:t>
      </w:r>
      <w:proofErr w:type="gramStart"/>
      <w:r>
        <w:rPr>
          <w:color w:val="000000" w:themeColor="text1"/>
        </w:rPr>
        <w:t>electrification at</w:t>
      </w:r>
      <w:proofErr w:type="gramEnd"/>
      <w:r>
        <w:rPr>
          <w:color w:val="000000" w:themeColor="text1"/>
        </w:rPr>
        <w:t xml:space="preserve"> scale. Furthermore, the scenario demonstrates that scaling clean cooking beyond electric stoves alone — through complementar</w:t>
      </w:r>
      <w:r>
        <w:rPr>
          <w:color w:val="000000" w:themeColor="text1"/>
        </w:rPr>
        <w:t xml:space="preserve">y ICS WS-3 and ICS PPT-3 distribution in rural areas where grid access remains limited — substantially amplifies the health, energy, and emissions co-benefits of the NDC target. The combined avoided emissions (133.17 million </w:t>
      </w:r>
      <w:proofErr w:type="spellStart"/>
      <w:r>
        <w:rPr>
          <w:color w:val="000000" w:themeColor="text1"/>
        </w:rPr>
        <w:t>tonnes</w:t>
      </w:r>
      <w:proofErr w:type="spellEnd"/>
      <w:r>
        <w:rPr>
          <w:color w:val="000000" w:themeColor="text1"/>
        </w:rPr>
        <w:t xml:space="preserve"> cumulative by 2030) and net economic gains (USD 1,308 million per year) provide a compelling co-benefit narrative to support project proposals to the Green Climate Fund, Clean Cooking Fund, or carbon crediting under VERRA’s Verified Carbon Standard or the Gold Standard.</w:t>
      </w:r>
    </w:p>
    <w:p w14:paraId="330AB132" w14:textId="77777777" w:rsidR="00D828C9" w:rsidRPr="0021250A" w:rsidRDefault="00D828C9">
      <w:pPr>
        <w:spacing w:before="40" w:after="40"/>
        <w:rPr>
          <w:color w:val="000000" w:themeColor="text1"/>
        </w:rPr>
      </w:pPr>
    </w:p>
    <w:p w14:paraId="3C3CA23B" w14:textId="77777777" w:rsidR="00D828C9" w:rsidRPr="0021250A" w:rsidRDefault="00FF3273">
      <w:pPr>
        <w:spacing w:before="80" w:after="80"/>
        <w:jc w:val="both"/>
        <w:rPr>
          <w:color w:val="000000" w:themeColor="text1"/>
        </w:rPr>
      </w:pPr>
      <w:r>
        <w:rPr>
          <w:color w:val="000000" w:themeColor="text1"/>
        </w:rPr>
        <w:t xml:space="preserve">Based on these findings, the following recommendations are made for policy and </w:t>
      </w:r>
      <w:proofErr w:type="spellStart"/>
      <w:r>
        <w:rPr>
          <w:color w:val="000000" w:themeColor="text1"/>
        </w:rPr>
        <w:t>programme</w:t>
      </w:r>
      <w:proofErr w:type="spellEnd"/>
      <w:r>
        <w:rPr>
          <w:color w:val="000000" w:themeColor="text1"/>
        </w:rPr>
        <w:t xml:space="preserve"> design:</w:t>
      </w:r>
    </w:p>
    <w:p w14:paraId="7D288DD1" w14:textId="77777777" w:rsidR="00D828C9" w:rsidRPr="0021250A" w:rsidRDefault="00D828C9">
      <w:pPr>
        <w:spacing w:before="40" w:after="40"/>
        <w:rPr>
          <w:color w:val="000000" w:themeColor="text1"/>
        </w:rPr>
      </w:pPr>
    </w:p>
    <w:p w14:paraId="17D589B5" w14:textId="77777777" w:rsidR="00D828C9" w:rsidRPr="0021250A" w:rsidRDefault="00FF3273">
      <w:pPr>
        <w:pStyle w:val="ListParagraph"/>
        <w:numPr>
          <w:ilvl w:val="0"/>
          <w:numId w:val="2"/>
        </w:numPr>
        <w:spacing w:before="60" w:after="60"/>
        <w:rPr>
          <w:color w:val="000000" w:themeColor="text1"/>
        </w:rPr>
      </w:pPr>
      <w:proofErr w:type="spellStart"/>
      <w:r>
        <w:rPr>
          <w:color w:val="000000" w:themeColor="text1"/>
        </w:rPr>
        <w:t>Prioritise</w:t>
      </w:r>
      <w:proofErr w:type="spellEnd"/>
      <w:r>
        <w:rPr>
          <w:color w:val="000000" w:themeColor="text1"/>
        </w:rPr>
        <w:t xml:space="preserve"> rural ICS WS-3 distribution as the core near-term intervention, targeting communities in the northern and eastern highlands where tripod stove prevalence is highest.</w:t>
      </w:r>
    </w:p>
    <w:p w14:paraId="7610A51D"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Integrate clean cooking programming with the National Electrification </w:t>
      </w:r>
      <w:proofErr w:type="spellStart"/>
      <w:r>
        <w:rPr>
          <w:color w:val="000000" w:themeColor="text1"/>
        </w:rPr>
        <w:t>Programme</w:t>
      </w:r>
      <w:proofErr w:type="spellEnd"/>
      <w:r>
        <w:rPr>
          <w:color w:val="000000" w:themeColor="text1"/>
        </w:rPr>
        <w:t>, using new grid connections as entry points for electric cooking appliance financing.</w:t>
      </w:r>
    </w:p>
    <w:p w14:paraId="779B4ADC"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Develop a national programmatic carbon project to </w:t>
      </w:r>
      <w:proofErr w:type="spellStart"/>
      <w:r>
        <w:rPr>
          <w:color w:val="000000" w:themeColor="text1"/>
        </w:rPr>
        <w:t>mobilise</w:t>
      </w:r>
      <w:proofErr w:type="spellEnd"/>
      <w:r>
        <w:rPr>
          <w:color w:val="000000" w:themeColor="text1"/>
        </w:rPr>
        <w:t xml:space="preserve"> climate finance and provide a sustainable revenue stream for </w:t>
      </w:r>
      <w:proofErr w:type="spellStart"/>
      <w:r>
        <w:rPr>
          <w:color w:val="000000" w:themeColor="text1"/>
        </w:rPr>
        <w:t>programme</w:t>
      </w:r>
      <w:proofErr w:type="spellEnd"/>
      <w:r>
        <w:rPr>
          <w:color w:val="000000" w:themeColor="text1"/>
        </w:rPr>
        <w:t xml:space="preserve"> operations.</w:t>
      </w:r>
    </w:p>
    <w:p w14:paraId="1B93C78B"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Commission a national household energy survey to validate and update the </w:t>
      </w:r>
      <w:proofErr w:type="spellStart"/>
      <w:r>
        <w:rPr>
          <w:color w:val="000000" w:themeColor="text1"/>
        </w:rPr>
        <w:t>OnStove</w:t>
      </w:r>
      <w:proofErr w:type="spellEnd"/>
      <w:r>
        <w:rPr>
          <w:color w:val="000000" w:themeColor="text1"/>
        </w:rPr>
        <w:t xml:space="preserve"> baseline, improving model precision for subnational targeting.</w:t>
      </w:r>
    </w:p>
    <w:p w14:paraId="0F5AEF73" w14:textId="77777777" w:rsidR="00D828C9" w:rsidRPr="0021250A" w:rsidRDefault="00FF3273">
      <w:pPr>
        <w:pStyle w:val="ListParagraph"/>
        <w:numPr>
          <w:ilvl w:val="0"/>
          <w:numId w:val="2"/>
        </w:numPr>
        <w:spacing w:before="60" w:after="60"/>
        <w:rPr>
          <w:color w:val="000000" w:themeColor="text1"/>
        </w:rPr>
      </w:pPr>
      <w:r>
        <w:rPr>
          <w:color w:val="000000" w:themeColor="text1"/>
        </w:rPr>
        <w:t xml:space="preserve">Engage the Lao Women's Union and provincial health networks to address cultural and </w:t>
      </w:r>
      <w:proofErr w:type="spellStart"/>
      <w:r>
        <w:rPr>
          <w:color w:val="000000" w:themeColor="text1"/>
        </w:rPr>
        <w:t>behavioural</w:t>
      </w:r>
      <w:proofErr w:type="spellEnd"/>
      <w:r>
        <w:rPr>
          <w:color w:val="000000" w:themeColor="text1"/>
        </w:rPr>
        <w:t xml:space="preserve"> adoption barriers through participatory </w:t>
      </w:r>
      <w:proofErr w:type="spellStart"/>
      <w:r>
        <w:rPr>
          <w:color w:val="000000" w:themeColor="text1"/>
        </w:rPr>
        <w:t>behaviour</w:t>
      </w:r>
      <w:proofErr w:type="spellEnd"/>
      <w:r>
        <w:rPr>
          <w:color w:val="000000" w:themeColor="text1"/>
        </w:rPr>
        <w:t xml:space="preserve"> change communication.</w:t>
      </w:r>
    </w:p>
    <w:p w14:paraId="2EA0BAFD" w14:textId="77777777" w:rsidR="00D828C9" w:rsidRPr="0021250A" w:rsidRDefault="00D828C9">
      <w:pPr>
        <w:spacing w:before="40" w:after="40"/>
        <w:rPr>
          <w:color w:val="000000" w:themeColor="text1"/>
        </w:rPr>
      </w:pPr>
    </w:p>
    <w:p w14:paraId="673235D4" w14:textId="77777777" w:rsidR="00D828C9" w:rsidRPr="0021250A" w:rsidRDefault="00FF3273">
      <w:pPr>
        <w:spacing w:before="80" w:after="80"/>
        <w:jc w:val="both"/>
        <w:rPr>
          <w:color w:val="000000" w:themeColor="text1"/>
        </w:rPr>
      </w:pPr>
      <w:r>
        <w:rPr>
          <w:color w:val="000000" w:themeColor="text1"/>
        </w:rPr>
        <w:t xml:space="preserve">The </w:t>
      </w:r>
      <w:proofErr w:type="spellStart"/>
      <w:r>
        <w:rPr>
          <w:color w:val="000000" w:themeColor="text1"/>
        </w:rPr>
        <w:t>OnStove</w:t>
      </w:r>
      <w:proofErr w:type="spellEnd"/>
      <w:r>
        <w:rPr>
          <w:color w:val="000000" w:themeColor="text1"/>
        </w:rPr>
        <w:t xml:space="preserve"> model developed in this study provides a living analytical tool that can be updated as new data become available and extended to explore additional scenario dimensions, including sensitivity to fuel price changes, carbon pricing, and targeted subsidy designs. We recommend that the model be maintained and updated annually in collaboration with the Ministry of Energy and Mines and NUOL's Clean Cooking Group.</w:t>
      </w:r>
    </w:p>
    <w:p w14:paraId="0C47EF85" w14:textId="77777777" w:rsidR="00D828C9" w:rsidRPr="0021250A" w:rsidRDefault="00FF3273">
      <w:pPr>
        <w:rPr>
          <w:color w:val="000000" w:themeColor="text1"/>
        </w:rPr>
      </w:pPr>
      <w:r>
        <w:rPr>
          <w:color w:val="000000" w:themeColor="text1"/>
        </w:rPr>
        <w:br w:type="page"/>
      </w:r>
    </w:p>
    <w:p w14:paraId="3EBC6B34" w14:textId="77777777" w:rsidR="00D828C9" w:rsidRPr="0021250A" w:rsidRDefault="00FF3273">
      <w:pPr>
        <w:pStyle w:val="Heading1"/>
        <w:rPr>
          <w:color w:val="000000" w:themeColor="text1"/>
        </w:rPr>
      </w:pPr>
      <w:bookmarkStart w:id="45" w:name="_Toc224610019"/>
      <w:r>
        <w:rPr>
          <w:color w:val="000000" w:themeColor="text1"/>
        </w:rPr>
        <w:lastRenderedPageBreak/>
        <w:t>References</w:t>
      </w:r>
      <w:bookmarkEnd w:id="45"/>
    </w:p>
    <w:p w14:paraId="5D6971F8" w14:textId="77777777" w:rsidR="00D828C9" w:rsidRPr="0021250A" w:rsidRDefault="00FF3273">
      <w:pPr>
        <w:spacing w:before="80" w:after="80"/>
        <w:jc w:val="both"/>
        <w:rPr>
          <w:color w:val="000000" w:themeColor="text1"/>
        </w:rPr>
      </w:pPr>
      <w:r>
        <w:rPr>
          <w:color w:val="000000" w:themeColor="text1"/>
        </w:rPr>
        <w:t xml:space="preserve">Elvidge, C.D., Baugh, K., </w:t>
      </w:r>
      <w:proofErr w:type="spellStart"/>
      <w:r>
        <w:rPr>
          <w:color w:val="000000" w:themeColor="text1"/>
        </w:rPr>
        <w:t>Zhizhin</w:t>
      </w:r>
      <w:proofErr w:type="spellEnd"/>
      <w:r>
        <w:rPr>
          <w:color w:val="000000" w:themeColor="text1"/>
        </w:rPr>
        <w:t>, M., Hsu, F.C., &amp; Ghosh, T. (2017). VIIRS night-time lights. International Journal of Remote Sensing, 38(21), 5860–5879. https://doi.org/10.1080/01431161.2017.1342050</w:t>
      </w:r>
    </w:p>
    <w:p w14:paraId="6C43019C" w14:textId="77777777" w:rsidR="00D828C9" w:rsidRPr="0021250A" w:rsidRDefault="00FF3273">
      <w:pPr>
        <w:spacing w:before="80" w:after="80"/>
        <w:jc w:val="both"/>
        <w:rPr>
          <w:color w:val="000000" w:themeColor="text1"/>
        </w:rPr>
      </w:pPr>
      <w:r>
        <w:rPr>
          <w:color w:val="000000" w:themeColor="text1"/>
        </w:rPr>
        <w:t>FAO (2017). Wood energy. Food and Agriculture Organization of the United Nations. https://www.fao.org/forestry/energy/en/</w:t>
      </w:r>
    </w:p>
    <w:p w14:paraId="33C58DB4" w14:textId="77777777" w:rsidR="00D828C9" w:rsidRDefault="00FF3273">
      <w:pPr>
        <w:spacing w:before="80" w:after="80"/>
        <w:jc w:val="both"/>
        <w:rPr>
          <w:color w:val="000000" w:themeColor="text1"/>
        </w:rPr>
      </w:pPr>
      <w:r>
        <w:rPr>
          <w:color w:val="000000" w:themeColor="text1"/>
        </w:rPr>
        <w:t>Government of Lao PDR (2021). 9th National Socio-Economic Development Plan (NSEDP) 2021–2025. Ministry of Planning and Investment, Vientiane. https://www.mpi.gov.la</w:t>
      </w:r>
    </w:p>
    <w:p w14:paraId="30CC809A" w14:textId="77777777" w:rsidR="00D828C9" w:rsidRDefault="00FF3273">
      <w:pPr>
        <w:spacing w:before="80" w:after="80"/>
        <w:jc w:val="both"/>
        <w:rPr>
          <w:color w:val="000000" w:themeColor="text1"/>
        </w:rPr>
      </w:pPr>
      <w:r>
        <w:rPr>
          <w:color w:val="000000" w:themeColor="text1"/>
        </w:rPr>
        <w:t>Government of Lao PDR / UNFCCC (2021). Updated Nationally Determined Contribution (NDC) of the Lao People’s Democratic Republic. UNFCCC NDC Registry. https://unfccc.int/sites/default/files/NDC/2022-06/NDC%20of%20Lao%20PDR%20Updated%202021.pdf</w:t>
      </w:r>
    </w:p>
    <w:p w14:paraId="1171B4FE" w14:textId="77777777" w:rsidR="00D828C9" w:rsidRPr="00BC40F1" w:rsidRDefault="00FF3273">
      <w:pPr>
        <w:spacing w:before="80" w:after="80"/>
        <w:jc w:val="both"/>
        <w:rPr>
          <w:color w:val="000000" w:themeColor="text1"/>
          <w:lang w:val="it-IT"/>
        </w:rPr>
      </w:pPr>
      <w:r>
        <w:rPr>
          <w:color w:val="000000" w:themeColor="text1"/>
        </w:rPr>
        <w:t xml:space="preserve">Gilbert, M., Nicolas, G., </w:t>
      </w:r>
      <w:proofErr w:type="spellStart"/>
      <w:r>
        <w:rPr>
          <w:color w:val="000000" w:themeColor="text1"/>
        </w:rPr>
        <w:t>Cinardi</w:t>
      </w:r>
      <w:proofErr w:type="spellEnd"/>
      <w:r>
        <w:rPr>
          <w:color w:val="000000" w:themeColor="text1"/>
        </w:rPr>
        <w:t xml:space="preserve">, G., Van Boeckel, T.P., </w:t>
      </w:r>
      <w:proofErr w:type="spellStart"/>
      <w:r>
        <w:rPr>
          <w:color w:val="000000" w:themeColor="text1"/>
        </w:rPr>
        <w:t>Vanwambeke</w:t>
      </w:r>
      <w:proofErr w:type="spellEnd"/>
      <w:r>
        <w:rPr>
          <w:color w:val="000000" w:themeColor="text1"/>
        </w:rPr>
        <w:t xml:space="preserve">, S.O., Wint, G.R.W., &amp; Robinson, T.P. (2018). Global distribution data for cattle, buffaloes, horses, sheep, goats, pigs, chickens and ducks in 2010. </w:t>
      </w:r>
      <w:r>
        <w:rPr>
          <w:color w:val="000000" w:themeColor="text1"/>
          <w:lang w:val="it-IT"/>
        </w:rPr>
        <w:t>Scientific Data, 5, 180227. https://doi.org/10.1038/sdata.2018.227</w:t>
      </w:r>
    </w:p>
    <w:p w14:paraId="76605ACA" w14:textId="77777777" w:rsidR="00D828C9" w:rsidRPr="0021250A" w:rsidRDefault="00FF3273">
      <w:pPr>
        <w:spacing w:before="80" w:after="80"/>
        <w:jc w:val="both"/>
        <w:rPr>
          <w:color w:val="000000" w:themeColor="text1"/>
        </w:rPr>
      </w:pPr>
      <w:r>
        <w:rPr>
          <w:color w:val="000000" w:themeColor="text1"/>
          <w:lang w:val="it-IT"/>
        </w:rPr>
        <w:t xml:space="preserve">Hansen, M.C., Potapov, P.V., Moore, R., Hancher, M., Turubanova, S.A., Tyukavina, A., ... </w:t>
      </w:r>
      <w:r>
        <w:rPr>
          <w:color w:val="000000" w:themeColor="text1"/>
        </w:rPr>
        <w:t>&amp; Townshend, J.R. (2013). High-resolution global maps of 21st-century forest cover change. Science, 342(6160), 850–853. https://doi.org/10.1126/science.1244693</w:t>
      </w:r>
    </w:p>
    <w:p w14:paraId="1E2F7E51" w14:textId="77777777" w:rsidR="00D828C9" w:rsidRPr="0021250A" w:rsidRDefault="00FF3273">
      <w:pPr>
        <w:spacing w:before="80" w:after="80"/>
        <w:jc w:val="both"/>
        <w:rPr>
          <w:color w:val="000000" w:themeColor="text1"/>
        </w:rPr>
      </w:pPr>
      <w:r>
        <w:rPr>
          <w:color w:val="000000" w:themeColor="text1"/>
        </w:rPr>
        <w:t>IEA (2023). World Energy Outlook 2023. International Energy Agency. https://www.iea.org/reports/world-energy-outlook-2023</w:t>
      </w:r>
    </w:p>
    <w:p w14:paraId="69882D3C" w14:textId="77777777" w:rsidR="00D828C9" w:rsidRPr="0021250A" w:rsidRDefault="00FF3273">
      <w:pPr>
        <w:spacing w:before="80" w:after="80"/>
        <w:jc w:val="both"/>
        <w:rPr>
          <w:color w:val="000000" w:themeColor="text1"/>
        </w:rPr>
      </w:pPr>
      <w:r>
        <w:rPr>
          <w:color w:val="000000" w:themeColor="text1"/>
        </w:rPr>
        <w:t xml:space="preserve">Khavari, B., </w:t>
      </w:r>
      <w:proofErr w:type="spellStart"/>
      <w:r>
        <w:rPr>
          <w:color w:val="000000" w:themeColor="text1"/>
        </w:rPr>
        <w:t>Korkovelos</w:t>
      </w:r>
      <w:proofErr w:type="spellEnd"/>
      <w:r>
        <w:rPr>
          <w:color w:val="000000" w:themeColor="text1"/>
        </w:rPr>
        <w:t xml:space="preserve">, A., </w:t>
      </w:r>
      <w:proofErr w:type="spellStart"/>
      <w:r>
        <w:rPr>
          <w:color w:val="000000" w:themeColor="text1"/>
        </w:rPr>
        <w:t>Arderne</w:t>
      </w:r>
      <w:proofErr w:type="spellEnd"/>
      <w:r>
        <w:rPr>
          <w:color w:val="000000" w:themeColor="text1"/>
        </w:rPr>
        <w:t xml:space="preserve">, C., Fuso </w:t>
      </w:r>
      <w:proofErr w:type="spellStart"/>
      <w:r>
        <w:rPr>
          <w:color w:val="000000" w:themeColor="text1"/>
        </w:rPr>
        <w:t>Nerini</w:t>
      </w:r>
      <w:proofErr w:type="spellEnd"/>
      <w:r>
        <w:rPr>
          <w:color w:val="000000" w:themeColor="text1"/>
        </w:rPr>
        <w:t xml:space="preserve">, F., &amp; Howells, M. (2024). Quantifying the benefits of clean cooking transitions in East Africa using the </w:t>
      </w:r>
      <w:proofErr w:type="spellStart"/>
      <w:r>
        <w:rPr>
          <w:color w:val="000000" w:themeColor="text1"/>
        </w:rPr>
        <w:t>OnStove</w:t>
      </w:r>
      <w:proofErr w:type="spellEnd"/>
      <w:r>
        <w:rPr>
          <w:color w:val="000000" w:themeColor="text1"/>
        </w:rPr>
        <w:t xml:space="preserve"> framework. The Lancet Planetary Health, 8(9), e634–e645. https://doi.org/10.1016/S2542-5196(24)00209-2</w:t>
      </w:r>
    </w:p>
    <w:p w14:paraId="28818A9F" w14:textId="77777777" w:rsidR="00D828C9" w:rsidRPr="0021250A" w:rsidRDefault="00FF3273">
      <w:pPr>
        <w:spacing w:before="80" w:after="80"/>
        <w:jc w:val="both"/>
        <w:rPr>
          <w:color w:val="000000" w:themeColor="text1"/>
        </w:rPr>
      </w:pPr>
      <w:r>
        <w:rPr>
          <w:color w:val="000000" w:themeColor="text1"/>
          <w:lang w:val="sv-SE"/>
        </w:rPr>
        <w:t xml:space="preserve">Korkovelos, A., Khavari, B., Sahlberg, A., Howells, M., &amp; Fuso Nerini, F. (2022). </w:t>
      </w:r>
      <w:r>
        <w:rPr>
          <w:color w:val="000000" w:themeColor="text1"/>
        </w:rPr>
        <w:t>Open-source geospatial modelling of clean cooking transitions. Nature Sustainability, 5(12), 1041–1050. https://doi.org/10.1038/s41893-022-01039-8</w:t>
      </w:r>
    </w:p>
    <w:p w14:paraId="4C88DD79" w14:textId="77777777" w:rsidR="00D828C9" w:rsidRPr="0021250A" w:rsidRDefault="00FF3273">
      <w:pPr>
        <w:spacing w:before="80" w:after="80"/>
        <w:jc w:val="both"/>
        <w:rPr>
          <w:color w:val="000000" w:themeColor="text1"/>
        </w:rPr>
      </w:pPr>
      <w:r>
        <w:rPr>
          <w:color w:val="000000" w:themeColor="text1"/>
        </w:rPr>
        <w:t>Lao Statistics Bureau (LSB) (2021). Lao PDR Household Energy Survey. Ministry of Planning and Investment, Vientiane.</w:t>
      </w:r>
    </w:p>
    <w:p w14:paraId="17C54FD3" w14:textId="77777777" w:rsidR="00D828C9" w:rsidRPr="00BC40F1" w:rsidRDefault="00FF3273">
      <w:pPr>
        <w:spacing w:before="80" w:after="80"/>
        <w:jc w:val="both"/>
        <w:rPr>
          <w:color w:val="000000" w:themeColor="text1"/>
          <w:lang w:val="it-IT"/>
        </w:rPr>
      </w:pPr>
      <w:r>
        <w:rPr>
          <w:color w:val="000000" w:themeColor="text1"/>
        </w:rPr>
        <w:t xml:space="preserve">Malaria Atlas Project (2020). Accessibility friction surface. </w:t>
      </w:r>
      <w:r>
        <w:rPr>
          <w:color w:val="000000" w:themeColor="text1"/>
          <w:lang w:val="it-IT"/>
        </w:rPr>
        <w:t>Wellcome Sanger Institute. https://malariaatlas.org/</w:t>
      </w:r>
    </w:p>
    <w:p w14:paraId="5367C23D" w14:textId="77777777" w:rsidR="00D828C9" w:rsidRPr="0021250A" w:rsidRDefault="00FF3273">
      <w:pPr>
        <w:spacing w:before="80" w:after="80"/>
        <w:jc w:val="both"/>
        <w:rPr>
          <w:color w:val="000000" w:themeColor="text1"/>
        </w:rPr>
      </w:pPr>
      <w:r>
        <w:rPr>
          <w:color w:val="000000" w:themeColor="text1"/>
          <w:lang w:val="it-IT"/>
        </w:rPr>
        <w:t xml:space="preserve">OnStove Documentation (2024). </w:t>
      </w:r>
      <w:proofErr w:type="spellStart"/>
      <w:r>
        <w:rPr>
          <w:color w:val="000000" w:themeColor="text1"/>
        </w:rPr>
        <w:t>OnStove</w:t>
      </w:r>
      <w:proofErr w:type="spellEnd"/>
      <w:r>
        <w:rPr>
          <w:color w:val="000000" w:themeColor="text1"/>
        </w:rPr>
        <w:t xml:space="preserve"> model documentation. KTH Royal Institute of Technology. https://onstove-documentation.readthedocs.io/en/latest/index.html</w:t>
      </w:r>
    </w:p>
    <w:p w14:paraId="0BF937F5" w14:textId="77777777" w:rsidR="00D828C9" w:rsidRPr="0021250A" w:rsidRDefault="00FF3273">
      <w:pPr>
        <w:spacing w:before="80" w:after="80"/>
        <w:jc w:val="both"/>
        <w:rPr>
          <w:color w:val="000000" w:themeColor="text1"/>
        </w:rPr>
      </w:pPr>
      <w:proofErr w:type="spellStart"/>
      <w:r>
        <w:rPr>
          <w:color w:val="000000" w:themeColor="text1"/>
        </w:rPr>
        <w:t>Puzzolo</w:t>
      </w:r>
      <w:proofErr w:type="spellEnd"/>
      <w:r>
        <w:rPr>
          <w:color w:val="000000" w:themeColor="text1"/>
        </w:rPr>
        <w:t xml:space="preserve">, E., </w:t>
      </w:r>
      <w:proofErr w:type="spellStart"/>
      <w:r>
        <w:rPr>
          <w:color w:val="000000" w:themeColor="text1"/>
        </w:rPr>
        <w:t>Zerriffi</w:t>
      </w:r>
      <w:proofErr w:type="spellEnd"/>
      <w:r>
        <w:rPr>
          <w:color w:val="000000" w:themeColor="text1"/>
        </w:rPr>
        <w:t xml:space="preserve">, H., Carter, E., Clemens, H., Stokes, H., Johansson, L., ... &amp; Bailis, R. (2019). Supply considerations for scaling up clean cooking fuels for household energy in low- and middle-income countries. </w:t>
      </w:r>
      <w:proofErr w:type="spellStart"/>
      <w:r>
        <w:rPr>
          <w:color w:val="000000" w:themeColor="text1"/>
        </w:rPr>
        <w:t>GeoHealth</w:t>
      </w:r>
      <w:proofErr w:type="spellEnd"/>
      <w:r>
        <w:rPr>
          <w:color w:val="000000" w:themeColor="text1"/>
        </w:rPr>
        <w:t>, 3(12), 370–390. https://doi.org/10.1029/2019GH000208</w:t>
      </w:r>
    </w:p>
    <w:p w14:paraId="40A57F61" w14:textId="77777777" w:rsidR="00D828C9" w:rsidRPr="0021250A" w:rsidRDefault="00FF3273">
      <w:pPr>
        <w:spacing w:before="80" w:after="80"/>
        <w:jc w:val="both"/>
        <w:rPr>
          <w:color w:val="000000" w:themeColor="text1"/>
        </w:rPr>
      </w:pPr>
      <w:r>
        <w:rPr>
          <w:color w:val="000000" w:themeColor="text1"/>
        </w:rPr>
        <w:t>WHO (2023). Household air pollution. World Health Organization. https://www.who.int/news-room/fact-sheets/detail/household-air-pollution-and-health</w:t>
      </w:r>
    </w:p>
    <w:p w14:paraId="36BEBB0F" w14:textId="77777777" w:rsidR="00D828C9" w:rsidRPr="0021250A" w:rsidRDefault="00FF3273">
      <w:pPr>
        <w:spacing w:before="80" w:after="80"/>
        <w:jc w:val="both"/>
        <w:rPr>
          <w:color w:val="000000" w:themeColor="text1"/>
        </w:rPr>
      </w:pPr>
      <w:r>
        <w:rPr>
          <w:color w:val="000000" w:themeColor="text1"/>
        </w:rPr>
        <w:t>World Bank (2022). Clean Cooking: The Challenge and the Opportunity. World Bank Group. https://www.worldbank.org/en/topic/energy/brief/clean-cooking</w:t>
      </w:r>
    </w:p>
    <w:p w14:paraId="7CC0E012" w14:textId="77777777" w:rsidR="00D828C9" w:rsidRPr="0021250A" w:rsidRDefault="00FF3273">
      <w:pPr>
        <w:spacing w:before="80" w:after="80"/>
        <w:jc w:val="both"/>
        <w:rPr>
          <w:color w:val="000000" w:themeColor="text1"/>
        </w:rPr>
      </w:pPr>
      <w:proofErr w:type="spellStart"/>
      <w:r>
        <w:rPr>
          <w:color w:val="000000" w:themeColor="text1"/>
        </w:rPr>
        <w:t>WorldPop</w:t>
      </w:r>
      <w:proofErr w:type="spellEnd"/>
      <w:r>
        <w:rPr>
          <w:color w:val="000000" w:themeColor="text1"/>
        </w:rPr>
        <w:t xml:space="preserve"> (2020). Lao PDR gridded population count. University of Southampton. https://www.worldpop.org/</w:t>
      </w:r>
    </w:p>
    <w:p w14:paraId="3C669CCA" w14:textId="77777777" w:rsidR="00D828C9" w:rsidRPr="0021250A" w:rsidRDefault="00FF3273">
      <w:pPr>
        <w:spacing w:before="80" w:after="80"/>
        <w:jc w:val="both"/>
        <w:rPr>
          <w:color w:val="000000" w:themeColor="text1"/>
        </w:rPr>
      </w:pPr>
      <w:r>
        <w:rPr>
          <w:color w:val="000000" w:themeColor="text1"/>
        </w:rPr>
        <w:t xml:space="preserve">Weiss, D.J., Nelson, A., Gibson, H.S., Temperley, W., </w:t>
      </w:r>
      <w:proofErr w:type="spellStart"/>
      <w:r>
        <w:rPr>
          <w:color w:val="000000" w:themeColor="text1"/>
        </w:rPr>
        <w:t>Peedell</w:t>
      </w:r>
      <w:proofErr w:type="spellEnd"/>
      <w:r>
        <w:rPr>
          <w:color w:val="000000" w:themeColor="text1"/>
        </w:rPr>
        <w:t>, S., Lieber, A., ... &amp; Gething, P.W. (2018). A global map of travel time to cities to assess inequalities in accessibility in 2015. Nature, 553(7688), 333–336. https://doi.org/10.1038/nature25181</w:t>
      </w:r>
    </w:p>
    <w:p w14:paraId="4799C4B4" w14:textId="77777777" w:rsidR="00D828C9" w:rsidRPr="0021250A" w:rsidRDefault="00FF3273">
      <w:pPr>
        <w:rPr>
          <w:color w:val="000000" w:themeColor="text1"/>
        </w:rPr>
      </w:pPr>
      <w:r>
        <w:rPr>
          <w:color w:val="000000" w:themeColor="text1"/>
        </w:rPr>
        <w:br w:type="page"/>
      </w:r>
    </w:p>
    <w:p w14:paraId="711C06A1" w14:textId="77777777" w:rsidR="00D828C9" w:rsidRPr="0021250A" w:rsidRDefault="00FF3273">
      <w:pPr>
        <w:pStyle w:val="Heading1"/>
        <w:rPr>
          <w:color w:val="000000" w:themeColor="text1"/>
        </w:rPr>
      </w:pPr>
      <w:bookmarkStart w:id="46" w:name="_Toc224610020"/>
      <w:r>
        <w:rPr>
          <w:color w:val="000000" w:themeColor="text1"/>
        </w:rPr>
        <w:lastRenderedPageBreak/>
        <w:t>Appendix A. Model File Structure</w:t>
      </w:r>
      <w:bookmarkEnd w:id="46"/>
    </w:p>
    <w:p w14:paraId="5B373524" w14:textId="2B097773" w:rsidR="00D828C9" w:rsidRPr="0021250A" w:rsidRDefault="00FF3273">
      <w:pPr>
        <w:spacing w:before="80" w:after="80"/>
        <w:jc w:val="both"/>
        <w:rPr>
          <w:color w:val="000000" w:themeColor="text1"/>
        </w:rPr>
      </w:pPr>
      <w:r>
        <w:rPr>
          <w:color w:val="000000" w:themeColor="text1"/>
        </w:rPr>
        <w:t xml:space="preserve">The </w:t>
      </w:r>
      <w:proofErr w:type="spellStart"/>
      <w:r>
        <w:rPr>
          <w:color w:val="000000" w:themeColor="text1"/>
        </w:rPr>
        <w:t>OnStove</w:t>
      </w:r>
      <w:proofErr w:type="spellEnd"/>
      <w:r>
        <w:rPr>
          <w:color w:val="000000" w:themeColor="text1"/>
        </w:rPr>
        <w:t xml:space="preserve"> model for Lao PDR is organized in the following directory structure:</w:t>
      </w:r>
    </w:p>
    <w:p w14:paraId="0D2CB5F0" w14:textId="77777777" w:rsidR="0078217A" w:rsidRPr="0021250A" w:rsidRDefault="0078217A" w:rsidP="0078217A">
      <w:pPr>
        <w:spacing w:after="160"/>
        <w:rPr>
          <w:color w:val="000000" w:themeColor="text1"/>
        </w:rPr>
      </w:pPr>
    </w:p>
    <w:p w14:paraId="074C758F" w14:textId="77777777" w:rsidR="0078217A" w:rsidRPr="0021250A" w:rsidRDefault="0078217A" w:rsidP="0078217A">
      <w:pPr>
        <w:spacing w:after="80"/>
        <w:rPr>
          <w:color w:val="000000" w:themeColor="text1"/>
        </w:rPr>
      </w:pPr>
      <w:r>
        <w:rPr>
          <w:rFonts w:ascii="Courier New" w:eastAsia="Courier New" w:hAnsi="Courier New" w:cs="Courier New"/>
          <w:b/>
          <w:bCs/>
          <w:color w:val="000000" w:themeColor="text1"/>
          <w:sz w:val="20"/>
          <w:szCs w:val="20"/>
        </w:rPr>
        <w:t>Root Directory Structure:</w:t>
      </w:r>
    </w:p>
    <w:p w14:paraId="1B46995C" w14:textId="77777777" w:rsidR="0078217A" w:rsidRPr="0021250A" w:rsidRDefault="0078217A" w:rsidP="0078217A">
      <w:pPr>
        <w:spacing w:after="40"/>
        <w:rPr>
          <w:color w:val="000000" w:themeColor="text1"/>
        </w:rPr>
      </w:pPr>
    </w:p>
    <w:p w14:paraId="7E7630EA"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soc_specs_lao.csv</w:t>
      </w:r>
    </w:p>
    <w:p w14:paraId="173F80B0"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tech_specs_lao.csv</w:t>
      </w:r>
    </w:p>
    <w:p w14:paraId="7A38A731"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w:t>
      </w:r>
      <w:proofErr w:type="spellStart"/>
      <w:r>
        <w:rPr>
          <w:rFonts w:ascii="Courier New" w:eastAsia="Courier New" w:hAnsi="Courier New" w:cs="Courier New"/>
          <w:color w:val="000000" w:themeColor="text1"/>
          <w:sz w:val="18"/>
          <w:szCs w:val="18"/>
        </w:rPr>
        <w:t>gis_data</w:t>
      </w:r>
      <w:proofErr w:type="spellEnd"/>
      <w:r>
        <w:rPr>
          <w:rFonts w:ascii="Courier New" w:eastAsia="Courier New" w:hAnsi="Courier New" w:cs="Courier New"/>
          <w:color w:val="000000" w:themeColor="text1"/>
          <w:sz w:val="18"/>
          <w:szCs w:val="18"/>
        </w:rPr>
        <w:t>/</w:t>
      </w:r>
    </w:p>
    <w:p w14:paraId="6A72F909"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Administrative/</w:t>
      </w:r>
      <w:proofErr w:type="spellStart"/>
      <w:r>
        <w:rPr>
          <w:rFonts w:ascii="Courier New" w:eastAsia="Courier New" w:hAnsi="Courier New" w:cs="Courier New"/>
          <w:color w:val="000000" w:themeColor="text1"/>
          <w:sz w:val="18"/>
          <w:szCs w:val="18"/>
        </w:rPr>
        <w:t>Laos_Boundary</w:t>
      </w:r>
      <w:proofErr w:type="spellEnd"/>
      <w:r>
        <w:rPr>
          <w:rFonts w:ascii="Courier New" w:eastAsia="Courier New" w:hAnsi="Courier New" w:cs="Courier New"/>
          <w:color w:val="000000" w:themeColor="text1"/>
          <w:sz w:val="18"/>
          <w:szCs w:val="18"/>
        </w:rPr>
        <w:t>/</w:t>
      </w:r>
    </w:p>
    <w:p w14:paraId="57C8C062"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Base/</w:t>
      </w:r>
    </w:p>
    <w:p w14:paraId="4B8961F1"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Biomass/ (Forest, Friction)</w:t>
      </w:r>
    </w:p>
    <w:p w14:paraId="707F3B6E"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Demographics/population/</w:t>
      </w:r>
    </w:p>
    <w:p w14:paraId="5C17E5D8"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Electricity/ (</w:t>
      </w:r>
      <w:proofErr w:type="spellStart"/>
      <w:r>
        <w:rPr>
          <w:rFonts w:ascii="Courier New" w:eastAsia="Courier New" w:hAnsi="Courier New" w:cs="Courier New"/>
          <w:color w:val="000000" w:themeColor="text1"/>
          <w:sz w:val="18"/>
          <w:szCs w:val="18"/>
        </w:rPr>
        <w:t>MV_lines</w:t>
      </w:r>
      <w:proofErr w:type="spellEnd"/>
      <w:r>
        <w:rPr>
          <w:rFonts w:ascii="Courier New" w:eastAsia="Courier New" w:hAnsi="Courier New" w:cs="Courier New"/>
          <w:color w:val="000000" w:themeColor="text1"/>
          <w:sz w:val="18"/>
          <w:szCs w:val="18"/>
        </w:rPr>
        <w:t xml:space="preserve">, </w:t>
      </w:r>
      <w:proofErr w:type="spellStart"/>
      <w:r>
        <w:rPr>
          <w:rFonts w:ascii="Courier New" w:eastAsia="Courier New" w:hAnsi="Courier New" w:cs="Courier New"/>
          <w:color w:val="000000" w:themeColor="text1"/>
          <w:sz w:val="18"/>
          <w:szCs w:val="18"/>
        </w:rPr>
        <w:t>Night_time_lights</w:t>
      </w:r>
      <w:proofErr w:type="spellEnd"/>
      <w:r>
        <w:rPr>
          <w:rFonts w:ascii="Courier New" w:eastAsia="Courier New" w:hAnsi="Courier New" w:cs="Courier New"/>
          <w:color w:val="000000" w:themeColor="text1"/>
          <w:sz w:val="18"/>
          <w:szCs w:val="18"/>
        </w:rPr>
        <w:t>)</w:t>
      </w:r>
    </w:p>
    <w:p w14:paraId="1BD9651D"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 Livestock/ (Buffaloes, Cattle, Chicken, Goats, Pigs, Sheep)</w:t>
      </w:r>
    </w:p>
    <w:p w14:paraId="7E08D49C"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w:t>
      </w:r>
      <w:proofErr w:type="spellStart"/>
      <w:r>
        <w:rPr>
          <w:rFonts w:ascii="Courier New" w:eastAsia="Courier New" w:hAnsi="Courier New" w:cs="Courier New"/>
          <w:color w:val="000000" w:themeColor="text1"/>
          <w:sz w:val="18"/>
          <w:szCs w:val="18"/>
        </w:rPr>
        <w:t>Processed_Data_Laos</w:t>
      </w:r>
      <w:proofErr w:type="spellEnd"/>
      <w:r>
        <w:rPr>
          <w:rFonts w:ascii="Courier New" w:eastAsia="Courier New" w:hAnsi="Courier New" w:cs="Courier New"/>
          <w:color w:val="000000" w:themeColor="text1"/>
          <w:sz w:val="18"/>
          <w:szCs w:val="18"/>
        </w:rPr>
        <w:t>/</w:t>
      </w:r>
    </w:p>
    <w:p w14:paraId="33D16506"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 Base/</w:t>
      </w:r>
    </w:p>
    <w:p w14:paraId="031D76DE"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 Biomass/ (Forest, Friction)</w:t>
      </w:r>
    </w:p>
    <w:p w14:paraId="1C65D467"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 Demographics/population/</w:t>
      </w:r>
    </w:p>
    <w:p w14:paraId="09923E47" w14:textId="77777777" w:rsidR="0078217A" w:rsidRPr="0021250A" w:rsidRDefault="0078217A" w:rsidP="0078217A">
      <w:pPr>
        <w:spacing w:after="40"/>
        <w:rPr>
          <w:color w:val="000000" w:themeColor="text1"/>
        </w:rPr>
      </w:pPr>
      <w:r>
        <w:rPr>
          <w:rFonts w:ascii="Courier New" w:eastAsia="Courier New" w:hAnsi="Courier New" w:cs="Courier New"/>
          <w:color w:val="000000" w:themeColor="text1"/>
          <w:sz w:val="18"/>
          <w:szCs w:val="18"/>
        </w:rPr>
        <w:t xml:space="preserve">    └─ Electricity/ (</w:t>
      </w:r>
      <w:proofErr w:type="spellStart"/>
      <w:r>
        <w:rPr>
          <w:rFonts w:ascii="Courier New" w:eastAsia="Courier New" w:hAnsi="Courier New" w:cs="Courier New"/>
          <w:color w:val="000000" w:themeColor="text1"/>
          <w:sz w:val="18"/>
          <w:szCs w:val="18"/>
        </w:rPr>
        <w:t>MV_lines</w:t>
      </w:r>
      <w:proofErr w:type="spellEnd"/>
      <w:r>
        <w:rPr>
          <w:rFonts w:ascii="Courier New" w:eastAsia="Courier New" w:hAnsi="Courier New" w:cs="Courier New"/>
          <w:color w:val="000000" w:themeColor="text1"/>
          <w:sz w:val="18"/>
          <w:szCs w:val="18"/>
        </w:rPr>
        <w:t xml:space="preserve">, </w:t>
      </w:r>
      <w:proofErr w:type="spellStart"/>
      <w:r>
        <w:rPr>
          <w:rFonts w:ascii="Courier New" w:eastAsia="Courier New" w:hAnsi="Courier New" w:cs="Courier New"/>
          <w:color w:val="000000" w:themeColor="text1"/>
          <w:sz w:val="18"/>
          <w:szCs w:val="18"/>
        </w:rPr>
        <w:t>Night_time_lights</w:t>
      </w:r>
      <w:proofErr w:type="spellEnd"/>
      <w:r>
        <w:rPr>
          <w:rFonts w:ascii="Courier New" w:eastAsia="Courier New" w:hAnsi="Courier New" w:cs="Courier New"/>
          <w:color w:val="000000" w:themeColor="text1"/>
          <w:sz w:val="18"/>
          <w:szCs w:val="18"/>
        </w:rPr>
        <w:t>)</w:t>
      </w:r>
    </w:p>
    <w:p w14:paraId="10A3B5E0" w14:textId="1AA6D3A5" w:rsidR="00D828C9" w:rsidRPr="0021250A" w:rsidRDefault="00D828C9" w:rsidP="0078217A">
      <w:pPr>
        <w:spacing w:before="40" w:after="40"/>
        <w:rPr>
          <w:color w:val="000000" w:themeColor="text1"/>
        </w:rPr>
      </w:pPr>
    </w:p>
    <w:sectPr w:rsidR="00D828C9" w:rsidRPr="0021250A">
      <w:pgSz w:w="11906" w:h="16838"/>
      <w:pgMar w:top="1134" w:right="1134" w:bottom="1134" w:left="1134"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70C632" w14:textId="77777777" w:rsidR="002E0EB3" w:rsidRDefault="002E0EB3">
      <w:r>
        <w:separator/>
      </w:r>
    </w:p>
  </w:endnote>
  <w:endnote w:type="continuationSeparator" w:id="0">
    <w:p w14:paraId="2F2AD630" w14:textId="77777777" w:rsidR="002E0EB3" w:rsidRDefault="002E0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w:panose1 w:val="02020603050405020304"/>
    <w:charset w:val="00"/>
    <w:family w:val="roman"/>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B8A7A" w14:textId="77777777" w:rsidR="004A7B09" w:rsidRDefault="004A7B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7FDE6" w14:textId="6DA50D5F" w:rsidR="00D828C9" w:rsidRDefault="00FF3273">
    <w:pPr>
      <w:pBdr>
        <w:top w:val="single" w:sz="2" w:space="4" w:color="CCCCCC"/>
      </w:pBdr>
      <w:jc w:val="center"/>
    </w:pPr>
    <w:r>
      <w:rPr>
        <w:color w:val="888888"/>
        <w:sz w:val="18"/>
        <w:szCs w:val="18"/>
      </w:rPr>
      <w:t xml:space="preserve">Page </w:t>
    </w:r>
    <w:r>
      <w:rPr>
        <w:color w:val="888888"/>
        <w:sz w:val="18"/>
        <w:szCs w:val="18"/>
      </w:rPr>
      <w:fldChar w:fldCharType="begin"/>
    </w:r>
    <w:r>
      <w:rPr>
        <w:color w:val="888888"/>
        <w:sz w:val="18"/>
        <w:szCs w:val="18"/>
      </w:rPr>
      <w:instrText>PAGE</w:instrText>
    </w:r>
    <w:r>
      <w:rPr>
        <w:color w:val="888888"/>
        <w:sz w:val="18"/>
        <w:szCs w:val="18"/>
      </w:rPr>
      <w:fldChar w:fldCharType="separate"/>
    </w:r>
    <w:r w:rsidR="0078217A">
      <w:rPr>
        <w:noProof/>
        <w:color w:val="888888"/>
        <w:sz w:val="18"/>
        <w:szCs w:val="18"/>
      </w:rPr>
      <w:t>1</w:t>
    </w:r>
    <w:r>
      <w:rPr>
        <w:color w:val="888888"/>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2FD81" w14:textId="77777777" w:rsidR="004A7B09" w:rsidRDefault="004A7B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5C226" w14:textId="77777777" w:rsidR="002E0EB3" w:rsidRDefault="002E0EB3">
      <w:r>
        <w:separator/>
      </w:r>
    </w:p>
  </w:footnote>
  <w:footnote w:type="continuationSeparator" w:id="0">
    <w:p w14:paraId="2A9CD5C7" w14:textId="77777777" w:rsidR="002E0EB3" w:rsidRDefault="002E0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0F700" w14:textId="77777777" w:rsidR="004A7B09" w:rsidRDefault="004A7B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A4428" w14:textId="759B9B63" w:rsidR="00D828C9" w:rsidRDefault="00DD6B38">
    <w:pPr>
      <w:pBdr>
        <w:bottom w:val="single" w:sz="4" w:space="4" w:color="2E75B6"/>
      </w:pBdr>
      <w:jc w:val="right"/>
    </w:pPr>
    <w:r>
      <w:rPr>
        <w:i/>
        <w:iCs/>
        <w:color w:val="555555"/>
        <w:sz w:val="18"/>
        <w:szCs w:val="18"/>
      </w:rPr>
      <w:t>Modelling-based</w:t>
    </w:r>
    <w:r w:rsidR="004A7B09">
      <w:rPr>
        <w:i/>
        <w:iCs/>
        <w:color w:val="555555"/>
        <w:sz w:val="18"/>
        <w:szCs w:val="18"/>
      </w:rPr>
      <w:t xml:space="preserve"> clean cooking </w:t>
    </w:r>
    <w:r>
      <w:rPr>
        <w:i/>
        <w:iCs/>
        <w:color w:val="555555"/>
        <w:sz w:val="18"/>
        <w:szCs w:val="18"/>
      </w:rPr>
      <w:t>strategies for Lao PDR — Research Report 202</w:t>
    </w:r>
    <w:r w:rsidR="0078217A">
      <w:rPr>
        <w:i/>
        <w:iCs/>
        <w:color w:val="555555"/>
        <w:sz w:val="18"/>
        <w:szCs w:val="18"/>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EA327" w14:textId="77777777" w:rsidR="004A7B09" w:rsidRDefault="004A7B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06FAD"/>
    <w:multiLevelType w:val="hybridMultilevel"/>
    <w:tmpl w:val="11F09B1E"/>
    <w:lvl w:ilvl="0" w:tplc="5B820066">
      <w:start w:val="1"/>
      <w:numFmt w:val="decimal"/>
      <w:lvlText w:val="%1."/>
      <w:lvlJc w:val="left"/>
      <w:pPr>
        <w:ind w:left="720" w:hanging="360"/>
      </w:pPr>
    </w:lvl>
    <w:lvl w:ilvl="1" w:tplc="9F9A6C94">
      <w:numFmt w:val="decimal"/>
      <w:lvlText w:val=""/>
      <w:lvlJc w:val="left"/>
    </w:lvl>
    <w:lvl w:ilvl="2" w:tplc="02143B3C">
      <w:numFmt w:val="decimal"/>
      <w:lvlText w:val=""/>
      <w:lvlJc w:val="left"/>
    </w:lvl>
    <w:lvl w:ilvl="3" w:tplc="F2FC50A4">
      <w:numFmt w:val="decimal"/>
      <w:lvlText w:val=""/>
      <w:lvlJc w:val="left"/>
    </w:lvl>
    <w:lvl w:ilvl="4" w:tplc="F89631AE">
      <w:numFmt w:val="decimal"/>
      <w:lvlText w:val=""/>
      <w:lvlJc w:val="left"/>
    </w:lvl>
    <w:lvl w:ilvl="5" w:tplc="4CE20842">
      <w:numFmt w:val="decimal"/>
      <w:lvlText w:val=""/>
      <w:lvlJc w:val="left"/>
    </w:lvl>
    <w:lvl w:ilvl="6" w:tplc="2CA2A602">
      <w:numFmt w:val="decimal"/>
      <w:lvlText w:val=""/>
      <w:lvlJc w:val="left"/>
    </w:lvl>
    <w:lvl w:ilvl="7" w:tplc="12408D22">
      <w:numFmt w:val="decimal"/>
      <w:lvlText w:val=""/>
      <w:lvlJc w:val="left"/>
    </w:lvl>
    <w:lvl w:ilvl="8" w:tplc="F43E9AAC">
      <w:numFmt w:val="decimal"/>
      <w:lvlText w:val=""/>
      <w:lvlJc w:val="left"/>
    </w:lvl>
  </w:abstractNum>
  <w:abstractNum w:abstractNumId="1" w15:restartNumberingAfterBreak="0">
    <w:nsid w:val="455A5619"/>
    <w:multiLevelType w:val="hybridMultilevel"/>
    <w:tmpl w:val="6C30ED1E"/>
    <w:lvl w:ilvl="0" w:tplc="504E1D62">
      <w:start w:val="1"/>
      <w:numFmt w:val="bullet"/>
      <w:lvlText w:val="●"/>
      <w:lvlJc w:val="left"/>
      <w:pPr>
        <w:ind w:left="720" w:hanging="360"/>
      </w:pPr>
    </w:lvl>
    <w:lvl w:ilvl="1" w:tplc="A726F348">
      <w:start w:val="1"/>
      <w:numFmt w:val="bullet"/>
      <w:lvlText w:val="○"/>
      <w:lvlJc w:val="left"/>
      <w:pPr>
        <w:ind w:left="1440" w:hanging="360"/>
      </w:pPr>
    </w:lvl>
    <w:lvl w:ilvl="2" w:tplc="CDC817A4">
      <w:start w:val="1"/>
      <w:numFmt w:val="bullet"/>
      <w:lvlText w:val="■"/>
      <w:lvlJc w:val="left"/>
      <w:pPr>
        <w:ind w:left="2160" w:hanging="360"/>
      </w:pPr>
    </w:lvl>
    <w:lvl w:ilvl="3" w:tplc="4F74A520">
      <w:start w:val="1"/>
      <w:numFmt w:val="bullet"/>
      <w:lvlText w:val="●"/>
      <w:lvlJc w:val="left"/>
      <w:pPr>
        <w:ind w:left="2880" w:hanging="360"/>
      </w:pPr>
    </w:lvl>
    <w:lvl w:ilvl="4" w:tplc="371EE964">
      <w:start w:val="1"/>
      <w:numFmt w:val="bullet"/>
      <w:lvlText w:val="○"/>
      <w:lvlJc w:val="left"/>
      <w:pPr>
        <w:ind w:left="3600" w:hanging="360"/>
      </w:pPr>
    </w:lvl>
    <w:lvl w:ilvl="5" w:tplc="641AD240">
      <w:start w:val="1"/>
      <w:numFmt w:val="bullet"/>
      <w:lvlText w:val="■"/>
      <w:lvlJc w:val="left"/>
      <w:pPr>
        <w:ind w:left="4320" w:hanging="360"/>
      </w:pPr>
    </w:lvl>
    <w:lvl w:ilvl="6" w:tplc="9D52CBF6">
      <w:start w:val="1"/>
      <w:numFmt w:val="bullet"/>
      <w:lvlText w:val="●"/>
      <w:lvlJc w:val="left"/>
      <w:pPr>
        <w:ind w:left="5040" w:hanging="360"/>
      </w:pPr>
    </w:lvl>
    <w:lvl w:ilvl="7" w:tplc="148CAB2A">
      <w:start w:val="1"/>
      <w:numFmt w:val="bullet"/>
      <w:lvlText w:val="●"/>
      <w:lvlJc w:val="left"/>
      <w:pPr>
        <w:ind w:left="5760" w:hanging="360"/>
      </w:pPr>
    </w:lvl>
    <w:lvl w:ilvl="8" w:tplc="DDBC0D56">
      <w:start w:val="1"/>
      <w:numFmt w:val="bullet"/>
      <w:lvlText w:val="●"/>
      <w:lvlJc w:val="left"/>
      <w:pPr>
        <w:ind w:left="6480" w:hanging="360"/>
      </w:pPr>
    </w:lvl>
  </w:abstractNum>
  <w:abstractNum w:abstractNumId="2" w15:restartNumberingAfterBreak="0">
    <w:nsid w:val="4D185C17"/>
    <w:multiLevelType w:val="hybridMultilevel"/>
    <w:tmpl w:val="56206E6E"/>
    <w:lvl w:ilvl="0" w:tplc="FB4641BA">
      <w:start w:val="1"/>
      <w:numFmt w:val="bullet"/>
      <w:lvlText w:val="•"/>
      <w:lvlJc w:val="left"/>
      <w:pPr>
        <w:ind w:left="720" w:hanging="360"/>
      </w:pPr>
    </w:lvl>
    <w:lvl w:ilvl="1" w:tplc="00F06E76">
      <w:numFmt w:val="decimal"/>
      <w:lvlText w:val=""/>
      <w:lvlJc w:val="left"/>
    </w:lvl>
    <w:lvl w:ilvl="2" w:tplc="1E26DF10">
      <w:numFmt w:val="decimal"/>
      <w:lvlText w:val=""/>
      <w:lvlJc w:val="left"/>
    </w:lvl>
    <w:lvl w:ilvl="3" w:tplc="E6DC3F1A">
      <w:numFmt w:val="decimal"/>
      <w:lvlText w:val=""/>
      <w:lvlJc w:val="left"/>
    </w:lvl>
    <w:lvl w:ilvl="4" w:tplc="2C7E2D34">
      <w:numFmt w:val="decimal"/>
      <w:lvlText w:val=""/>
      <w:lvlJc w:val="left"/>
    </w:lvl>
    <w:lvl w:ilvl="5" w:tplc="7DA22032">
      <w:numFmt w:val="decimal"/>
      <w:lvlText w:val=""/>
      <w:lvlJc w:val="left"/>
    </w:lvl>
    <w:lvl w:ilvl="6" w:tplc="A5BC9560">
      <w:numFmt w:val="decimal"/>
      <w:lvlText w:val=""/>
      <w:lvlJc w:val="left"/>
    </w:lvl>
    <w:lvl w:ilvl="7" w:tplc="02D26DAA">
      <w:numFmt w:val="decimal"/>
      <w:lvlText w:val=""/>
      <w:lvlJc w:val="left"/>
    </w:lvl>
    <w:lvl w:ilvl="8" w:tplc="741EFCE4">
      <w:numFmt w:val="decimal"/>
      <w:lvlText w:val=""/>
      <w:lvlJc w:val="left"/>
    </w:lvl>
  </w:abstractNum>
  <w:num w:numId="1" w16cid:durableId="48462870">
    <w:abstractNumId w:val="1"/>
    <w:lvlOverride w:ilvl="0">
      <w:startOverride w:val="1"/>
    </w:lvlOverride>
  </w:num>
  <w:num w:numId="2" w16cid:durableId="1402217151">
    <w:abstractNumId w:val="2"/>
    <w:lvlOverride w:ilvl="0">
      <w:startOverride w:val="1"/>
    </w:lvlOverride>
  </w:num>
  <w:num w:numId="3" w16cid:durableId="2045252290">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8C9"/>
    <w:rsid w:val="00046397"/>
    <w:rsid w:val="000533E6"/>
    <w:rsid w:val="00083240"/>
    <w:rsid w:val="000D27BA"/>
    <w:rsid w:val="000E2F36"/>
    <w:rsid w:val="00113FAE"/>
    <w:rsid w:val="001C0DEA"/>
    <w:rsid w:val="00202BD9"/>
    <w:rsid w:val="0021250A"/>
    <w:rsid w:val="002B3945"/>
    <w:rsid w:val="002B741A"/>
    <w:rsid w:val="002C1879"/>
    <w:rsid w:val="002E0EB3"/>
    <w:rsid w:val="003152BD"/>
    <w:rsid w:val="00325374"/>
    <w:rsid w:val="003A26EB"/>
    <w:rsid w:val="003B1682"/>
    <w:rsid w:val="003F7D25"/>
    <w:rsid w:val="0044448A"/>
    <w:rsid w:val="00452DB0"/>
    <w:rsid w:val="004726B8"/>
    <w:rsid w:val="00493E82"/>
    <w:rsid w:val="004A7B09"/>
    <w:rsid w:val="004D089F"/>
    <w:rsid w:val="00533AC7"/>
    <w:rsid w:val="005B40F0"/>
    <w:rsid w:val="005F1577"/>
    <w:rsid w:val="0060171D"/>
    <w:rsid w:val="00646089"/>
    <w:rsid w:val="00675EEB"/>
    <w:rsid w:val="00690B93"/>
    <w:rsid w:val="006A123B"/>
    <w:rsid w:val="006B1B7B"/>
    <w:rsid w:val="00702F51"/>
    <w:rsid w:val="00743FF1"/>
    <w:rsid w:val="0078217A"/>
    <w:rsid w:val="007D5B9D"/>
    <w:rsid w:val="00845934"/>
    <w:rsid w:val="008459BA"/>
    <w:rsid w:val="008720EE"/>
    <w:rsid w:val="00884A0E"/>
    <w:rsid w:val="008A4BAD"/>
    <w:rsid w:val="008C43A6"/>
    <w:rsid w:val="008F46D8"/>
    <w:rsid w:val="00900F4A"/>
    <w:rsid w:val="009010DC"/>
    <w:rsid w:val="00915390"/>
    <w:rsid w:val="00981442"/>
    <w:rsid w:val="009E02F1"/>
    <w:rsid w:val="00A25170"/>
    <w:rsid w:val="00A41E9E"/>
    <w:rsid w:val="00AB7DCF"/>
    <w:rsid w:val="00BA69DE"/>
    <w:rsid w:val="00BC40F1"/>
    <w:rsid w:val="00BE4F0D"/>
    <w:rsid w:val="00BF70AC"/>
    <w:rsid w:val="00C07546"/>
    <w:rsid w:val="00C32B1F"/>
    <w:rsid w:val="00C44A17"/>
    <w:rsid w:val="00C9694D"/>
    <w:rsid w:val="00CD44DF"/>
    <w:rsid w:val="00D27AFB"/>
    <w:rsid w:val="00D30793"/>
    <w:rsid w:val="00D328D9"/>
    <w:rsid w:val="00D35D72"/>
    <w:rsid w:val="00D828C9"/>
    <w:rsid w:val="00DD6B38"/>
    <w:rsid w:val="00E70A27"/>
    <w:rsid w:val="00EA14A1"/>
    <w:rsid w:val="00EB4858"/>
    <w:rsid w:val="00EC2068"/>
    <w:rsid w:val="00F36B89"/>
    <w:rsid w:val="00F612D2"/>
    <w:rsid w:val="00F92DD5"/>
    <w:rsid w:val="00FF327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C6102"/>
  <w15:docId w15:val="{5E8BBD9B-A454-4BCB-BA09-4AEF05E77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ja-JP"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spacing w:before="320" w:after="160"/>
      <w:outlineLvl w:val="0"/>
    </w:pPr>
    <w:rPr>
      <w:b/>
      <w:bCs/>
      <w:color w:val="1F4E79"/>
      <w:sz w:val="28"/>
      <w:szCs w:val="28"/>
    </w:rPr>
  </w:style>
  <w:style w:type="paragraph" w:styleId="Heading2">
    <w:name w:val="heading 2"/>
    <w:uiPriority w:val="9"/>
    <w:unhideWhenUsed/>
    <w:qFormat/>
    <w:pPr>
      <w:spacing w:before="240" w:after="120"/>
      <w:outlineLvl w:val="1"/>
    </w:pPr>
    <w:rPr>
      <w:b/>
      <w:bCs/>
      <w:color w:val="2E75B6"/>
      <w:sz w:val="24"/>
      <w:szCs w:val="24"/>
    </w:rPr>
  </w:style>
  <w:style w:type="paragraph" w:styleId="Heading3">
    <w:name w:val="heading 3"/>
    <w:uiPriority w:val="9"/>
    <w:unhideWhenUsed/>
    <w:qFormat/>
    <w:pPr>
      <w:spacing w:before="180" w:after="80"/>
      <w:outlineLvl w:val="2"/>
    </w:pPr>
    <w:rPr>
      <w:b/>
      <w:bCs/>
      <w:color w:val="404040"/>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paragraph" w:styleId="Header">
    <w:name w:val="header"/>
    <w:basedOn w:val="Normal"/>
    <w:link w:val="HeaderChar"/>
    <w:uiPriority w:val="99"/>
    <w:unhideWhenUsed/>
    <w:rsid w:val="0078217A"/>
    <w:pPr>
      <w:tabs>
        <w:tab w:val="center" w:pos="4419"/>
        <w:tab w:val="right" w:pos="8838"/>
      </w:tabs>
    </w:pPr>
    <w:rPr>
      <w:rFonts w:cs="Cordia New"/>
      <w:szCs w:val="28"/>
    </w:rPr>
  </w:style>
  <w:style w:type="character" w:customStyle="1" w:styleId="HeaderChar">
    <w:name w:val="Header Char"/>
    <w:basedOn w:val="DefaultParagraphFont"/>
    <w:link w:val="Header"/>
    <w:uiPriority w:val="99"/>
    <w:rsid w:val="0078217A"/>
    <w:rPr>
      <w:rFonts w:cs="Cordia New"/>
      <w:szCs w:val="28"/>
    </w:rPr>
  </w:style>
  <w:style w:type="paragraph" w:styleId="Footer">
    <w:name w:val="footer"/>
    <w:basedOn w:val="Normal"/>
    <w:link w:val="FooterChar"/>
    <w:uiPriority w:val="99"/>
    <w:unhideWhenUsed/>
    <w:rsid w:val="0078217A"/>
    <w:pPr>
      <w:tabs>
        <w:tab w:val="center" w:pos="4419"/>
        <w:tab w:val="right" w:pos="8838"/>
      </w:tabs>
    </w:pPr>
    <w:rPr>
      <w:rFonts w:cs="Cordia New"/>
      <w:szCs w:val="28"/>
    </w:rPr>
  </w:style>
  <w:style w:type="character" w:customStyle="1" w:styleId="FooterChar">
    <w:name w:val="Footer Char"/>
    <w:basedOn w:val="DefaultParagraphFont"/>
    <w:link w:val="Footer"/>
    <w:uiPriority w:val="99"/>
    <w:rsid w:val="0078217A"/>
    <w:rPr>
      <w:rFonts w:cs="Cordia New"/>
      <w:szCs w:val="28"/>
    </w:rPr>
  </w:style>
  <w:style w:type="paragraph" w:styleId="TOCHeading">
    <w:name w:val="TOC Heading"/>
    <w:basedOn w:val="Heading1"/>
    <w:next w:val="Normal"/>
    <w:uiPriority w:val="39"/>
    <w:unhideWhenUsed/>
    <w:qFormat/>
    <w:rsid w:val="0021250A"/>
    <w:pPr>
      <w:keepNext/>
      <w:keepLines/>
      <w:spacing w:before="240" w:after="0" w:line="259" w:lineRule="auto"/>
      <w:outlineLvl w:val="9"/>
    </w:pPr>
    <w:rPr>
      <w:rFonts w:asciiTheme="majorHAnsi" w:eastAsiaTheme="majorEastAsia" w:hAnsiTheme="majorHAnsi" w:cstheme="majorBidi"/>
      <w:b w:val="0"/>
      <w:bCs w:val="0"/>
      <w:color w:val="0F4761" w:themeColor="accent1" w:themeShade="BF"/>
      <w:sz w:val="32"/>
      <w:szCs w:val="32"/>
      <w:lang w:eastAsia="en-US" w:bidi="ar-SA"/>
    </w:rPr>
  </w:style>
  <w:style w:type="paragraph" w:styleId="TOC1">
    <w:name w:val="toc 1"/>
    <w:basedOn w:val="Normal"/>
    <w:next w:val="Normal"/>
    <w:autoRedefine/>
    <w:uiPriority w:val="39"/>
    <w:unhideWhenUsed/>
    <w:rsid w:val="0021250A"/>
    <w:pPr>
      <w:spacing w:after="100"/>
    </w:pPr>
    <w:rPr>
      <w:rFonts w:cs="Cordia New"/>
      <w:szCs w:val="28"/>
    </w:rPr>
  </w:style>
  <w:style w:type="paragraph" w:styleId="TOC2">
    <w:name w:val="toc 2"/>
    <w:basedOn w:val="Normal"/>
    <w:next w:val="Normal"/>
    <w:autoRedefine/>
    <w:uiPriority w:val="39"/>
    <w:unhideWhenUsed/>
    <w:rsid w:val="0021250A"/>
    <w:pPr>
      <w:spacing w:after="100"/>
      <w:ind w:left="220"/>
    </w:pPr>
    <w:rPr>
      <w:rFonts w:cs="Cordia New"/>
      <w:szCs w:val="28"/>
    </w:rPr>
  </w:style>
  <w:style w:type="paragraph" w:styleId="TOC3">
    <w:name w:val="toc 3"/>
    <w:basedOn w:val="Normal"/>
    <w:next w:val="Normal"/>
    <w:autoRedefine/>
    <w:uiPriority w:val="39"/>
    <w:unhideWhenUsed/>
    <w:rsid w:val="0021250A"/>
    <w:pPr>
      <w:spacing w:after="100"/>
      <w:ind w:left="440"/>
    </w:pPr>
    <w:rPr>
      <w:rFonts w:cs="Cordia New"/>
      <w:szCs w:val="28"/>
    </w:rPr>
  </w:style>
  <w:style w:type="character" w:styleId="CommentReference">
    <w:name w:val="annotation reference"/>
    <w:basedOn w:val="DefaultParagraphFont"/>
    <w:uiPriority w:val="99"/>
    <w:semiHidden/>
    <w:unhideWhenUsed/>
    <w:rsid w:val="004A7B09"/>
    <w:rPr>
      <w:sz w:val="16"/>
      <w:szCs w:val="16"/>
    </w:rPr>
  </w:style>
  <w:style w:type="paragraph" w:styleId="CommentText">
    <w:name w:val="annotation text"/>
    <w:basedOn w:val="Normal"/>
    <w:link w:val="CommentTextChar"/>
    <w:uiPriority w:val="99"/>
    <w:unhideWhenUsed/>
    <w:rsid w:val="004A7B09"/>
    <w:rPr>
      <w:rFonts w:cs="Cordia New"/>
      <w:sz w:val="20"/>
      <w:szCs w:val="25"/>
    </w:rPr>
  </w:style>
  <w:style w:type="character" w:customStyle="1" w:styleId="CommentTextChar">
    <w:name w:val="Comment Text Char"/>
    <w:basedOn w:val="DefaultParagraphFont"/>
    <w:link w:val="CommentText"/>
    <w:uiPriority w:val="99"/>
    <w:rsid w:val="004A7B09"/>
    <w:rPr>
      <w:rFonts w:cs="Cordia New"/>
      <w:sz w:val="20"/>
      <w:szCs w:val="25"/>
    </w:rPr>
  </w:style>
  <w:style w:type="paragraph" w:styleId="CommentSubject">
    <w:name w:val="annotation subject"/>
    <w:basedOn w:val="CommentText"/>
    <w:next w:val="CommentText"/>
    <w:link w:val="CommentSubjectChar"/>
    <w:uiPriority w:val="99"/>
    <w:semiHidden/>
    <w:unhideWhenUsed/>
    <w:rsid w:val="004A7B09"/>
    <w:rPr>
      <w:b/>
      <w:bCs/>
    </w:rPr>
  </w:style>
  <w:style w:type="character" w:customStyle="1" w:styleId="CommentSubjectChar">
    <w:name w:val="Comment Subject Char"/>
    <w:basedOn w:val="CommentTextChar"/>
    <w:link w:val="CommentSubject"/>
    <w:uiPriority w:val="99"/>
    <w:semiHidden/>
    <w:rsid w:val="004A7B09"/>
    <w:rPr>
      <w:rFonts w:cs="Cordia New"/>
      <w:b/>
      <w:bCs/>
      <w:sz w:val="20"/>
      <w:szCs w:val="25"/>
    </w:rPr>
  </w:style>
  <w:style w:type="paragraph" w:styleId="Revision">
    <w:name w:val="Revision"/>
    <w:hidden/>
    <w:uiPriority w:val="99"/>
    <w:semiHidden/>
    <w:rsid w:val="004A7B09"/>
    <w:rPr>
      <w:rFonts w:cs="Cordia New"/>
      <w:szCs w:val="28"/>
    </w:rPr>
  </w:style>
  <w:style w:type="character" w:styleId="UnresolvedMention">
    <w:name w:val="Unresolved Mention"/>
    <w:basedOn w:val="DefaultParagraphFont"/>
    <w:uiPriority w:val="99"/>
    <w:semiHidden/>
    <w:unhideWhenUsed/>
    <w:rsid w:val="003152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github.com/Open-Source-Spatial-Clean-Cooking-Tool/OnStove"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s://onstove-documentation.readthedocs.io/en/latest/onstove_model.html" TargetMode="Externa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33F727AA7180443A862CD9A25741398" ma:contentTypeVersion="19" ma:contentTypeDescription="Create a new document." ma:contentTypeScope="" ma:versionID="ee348e32174b98c7a6097a6eb037b85e">
  <xsd:schema xmlns:xsd="http://www.w3.org/2001/XMLSchema" xmlns:xs="http://www.w3.org/2001/XMLSchema" xmlns:p="http://schemas.microsoft.com/office/2006/metadata/properties" xmlns:ns2="35b8b66e-5759-43c1-a138-f967a8bf5a20" xmlns:ns3="0b696a8a-ab1a-459b-a09e-44df7cbe9330" targetNamespace="http://schemas.microsoft.com/office/2006/metadata/properties" ma:root="true" ma:fieldsID="173e94dbb3f6ff7b5610ac6581004627" ns2:_="" ns3:_="">
    <xsd:import namespace="35b8b66e-5759-43c1-a138-f967a8bf5a20"/>
    <xsd:import namespace="0b696a8a-ab1a-459b-a09e-44df7cbe933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b8b66e-5759-43c1-a138-f967a8bf5a2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581a30b-7206-4dc0-86e4-cd83cec9bd9f}" ma:internalName="TaxCatchAll" ma:showField="CatchAllData" ma:web="35b8b66e-5759-43c1-a138-f967a8bf5a2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b696a8a-ab1a-459b-a09e-44df7cbe933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3b1f9f8-f5cc-49a8-8ca6-8016371bfcc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b696a8a-ab1a-459b-a09e-44df7cbe9330">
      <Terms xmlns="http://schemas.microsoft.com/office/infopath/2007/PartnerControls"/>
    </lcf76f155ced4ddcb4097134ff3c332f>
    <TaxCatchAll xmlns="35b8b66e-5759-43c1-a138-f967a8bf5a20" xsi:nil="true"/>
  </documentManagement>
</p:properties>
</file>

<file path=customXml/itemProps1.xml><?xml version="1.0" encoding="utf-8"?>
<ds:datastoreItem xmlns:ds="http://schemas.openxmlformats.org/officeDocument/2006/customXml" ds:itemID="{E87AD7CA-66A1-4E24-8AD0-F083CE810344}">
  <ds:schemaRefs>
    <ds:schemaRef ds:uri="http://schemas.openxmlformats.org/officeDocument/2006/bibliography"/>
  </ds:schemaRefs>
</ds:datastoreItem>
</file>

<file path=customXml/itemProps2.xml><?xml version="1.0" encoding="utf-8"?>
<ds:datastoreItem xmlns:ds="http://schemas.openxmlformats.org/officeDocument/2006/customXml" ds:itemID="{8A409C52-38C9-4739-9914-2664781A0A54}"/>
</file>

<file path=customXml/itemProps3.xml><?xml version="1.0" encoding="utf-8"?>
<ds:datastoreItem xmlns:ds="http://schemas.openxmlformats.org/officeDocument/2006/customXml" ds:itemID="{FF45D889-369A-4724-ADCA-B173D1F4DDBF}"/>
</file>

<file path=customXml/itemProps4.xml><?xml version="1.0" encoding="utf-8"?>
<ds:datastoreItem xmlns:ds="http://schemas.openxmlformats.org/officeDocument/2006/customXml" ds:itemID="{1EC91309-44FC-4314-B7B0-96A4223D1928}"/>
</file>

<file path=docProps/app.xml><?xml version="1.0" encoding="utf-8"?>
<Properties xmlns="http://schemas.openxmlformats.org/officeDocument/2006/extended-properties" xmlns:vt="http://schemas.openxmlformats.org/officeDocument/2006/docPropsVTypes">
  <Template>Normal.dotm</Template>
  <TotalTime>1</TotalTime>
  <Pages>27</Pages>
  <Words>7634</Words>
  <Characters>43518</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Sridharan, Vignesh</cp:lastModifiedBy>
  <cp:revision>2</cp:revision>
  <dcterms:created xsi:type="dcterms:W3CDTF">2026-03-26T14:24:00Z</dcterms:created>
  <dcterms:modified xsi:type="dcterms:W3CDTF">2026-03-26T14:24:00Z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0276a6d5-60a5-4ae0-869e-2a942b3e9767</vt:lpwstr>
  </property>
  <property fmtid="{D5CDD505-2E9C-101B-9397-08002B2CF9AE}" pid="3" name="ContentTypeId">
    <vt:lpwstr>0x010100633F727AA7180443A862CD9A25741398</vt:lpwstr>
  </property>
</Properties>
</file>